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36" w:rsidRPr="00956137" w:rsidRDefault="008839EE" w:rsidP="008839EE">
      <w:r w:rsidRPr="00956137">
        <w:t xml:space="preserve">Foreword [LH Flint, </w:t>
      </w:r>
      <w:r w:rsidRPr="00956137">
        <w:rPr>
          <w:i/>
        </w:rPr>
        <w:t>Behavior Patterns of Hydration</w:t>
      </w:r>
      <w:r w:rsidRPr="00956137">
        <w:t xml:space="preserve"> 1964</w:t>
      </w:r>
    </w:p>
    <w:p w:rsidR="008839EE" w:rsidRPr="00956137"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56137">
        <w:t>S. H. Shakman [©</w:t>
      </w:r>
      <w:r w:rsidRPr="00956137">
        <w:rPr>
          <w:color w:val="000000"/>
        </w:rPr>
        <w:t>August 8, 2014]</w:t>
      </w:r>
    </w:p>
    <w:p w:rsidR="00361036" w:rsidRPr="00956137" w:rsidRDefault="00361036" w:rsidP="00956137">
      <w:pPr>
        <w:ind w:firstLine="720"/>
      </w:pPr>
      <w:r w:rsidRPr="00956137">
        <w:t>https://www.createspace.com/4950720</w:t>
      </w:r>
    </w:p>
    <w:p w:rsidR="008839EE" w:rsidRPr="00956137" w:rsidRDefault="008839EE" w:rsidP="008839EE"/>
    <w:p w:rsidR="008839EE" w:rsidRDefault="008839EE" w:rsidP="008839EE">
      <w:r>
        <w:t xml:space="preserve">     The importance </w:t>
      </w:r>
      <w:r w:rsidRPr="00C016CD">
        <w:t>of Lewis Her</w:t>
      </w:r>
      <w:r w:rsidR="00C42B1E">
        <w:t xml:space="preserve">rick Flint’s work on hydration </w:t>
      </w:r>
      <w:r w:rsidRPr="00C016CD">
        <w:t>cannot be overstated.  It certainly ranks on a par with: the revolutionary works of Aristarchus of Samos, hero of Archimedes and true father of knowledge of our heliocentric universe; Johannes Kepler, whose 3</w:t>
      </w:r>
      <w:r w:rsidRPr="00C016CD">
        <w:rPr>
          <w:vertAlign w:val="superscript"/>
        </w:rPr>
        <w:t>rd</w:t>
      </w:r>
      <w:r w:rsidRPr="00C016CD">
        <w:t xml:space="preserve"> harmonic law in particular demonstrated with mathematical precision the algebraic structure of our heliocentric universe; possibly </w:t>
      </w:r>
      <w:r w:rsidRPr="00C016CD">
        <w:rPr>
          <w:color w:val="000000"/>
          <w:sz w:val="27"/>
          <w:szCs w:val="27"/>
        </w:rPr>
        <w:t xml:space="preserve">Henry G. J. </w:t>
      </w:r>
      <w:r w:rsidRPr="00C016CD">
        <w:t>Moseley, whose researches established a precise algebraic relation between atomic numbers and wavelengths of vibration of the various elements</w:t>
      </w:r>
      <w:r>
        <w:t xml:space="preserve">; and precious few others.  Of course, the world is familiar with the likes of Archimedes, Copernicus, </w:t>
      </w:r>
      <w:smartTag w:uri="urn:schemas-microsoft-com:office:smarttags" w:element="City">
        <w:smartTag w:uri="urn:schemas-microsoft-com:office:smarttags" w:element="place">
          <w:r>
            <w:t>Newton</w:t>
          </w:r>
        </w:smartTag>
      </w:smartTag>
      <w:r>
        <w:t xml:space="preserve"> and Einstein, but even aura of these familiar names arguably must acknowledge the primary true importance of Aristarchus, Kepler and </w:t>
      </w:r>
      <w:smartTag w:uri="urn:schemas-microsoft-com:office:smarttags" w:element="City">
        <w:smartTag w:uri="urn:schemas-microsoft-com:office:smarttags" w:element="place">
          <w:r>
            <w:t>Flint</w:t>
          </w:r>
        </w:smartTag>
      </w:smartTag>
      <w:r>
        <w:t xml:space="preserve"> within the grand history of science.. </w:t>
      </w:r>
    </w:p>
    <w:p w:rsidR="008839EE" w:rsidRDefault="008839EE" w:rsidP="008839EE"/>
    <w:p w:rsidR="008839EE" w:rsidRDefault="008839EE" w:rsidP="008839EE">
      <w:r>
        <w:t xml:space="preserve">     As with the earlier giants (indeed what makes them giants), </w:t>
      </w:r>
      <w:smartTag w:uri="urn:schemas-microsoft-com:office:smarttags" w:element="City">
        <w:smartTag w:uri="urn:schemas-microsoft-com:office:smarttags" w:element="place">
          <w:r>
            <w:t>Flint</w:t>
          </w:r>
        </w:smartTag>
      </w:smartTag>
      <w:r>
        <w:t xml:space="preserve">’s work is not theoretical; rather, it is calculated from incontrovertible physical phenomena.  </w:t>
      </w:r>
      <w:smartTag w:uri="urn:schemas-microsoft-com:office:smarttags" w:element="City">
        <w:smartTag w:uri="urn:schemas-microsoft-com:office:smarttags" w:element="place">
          <w:r>
            <w:t>Flint</w:t>
          </w:r>
        </w:smartTag>
      </w:smartTag>
      <w:r>
        <w:t xml:space="preserve">’s work does not provide all the answers to the mysteries of science that remain, but it does provide a framework and solid foundation that seemingly can and will provide the answers (if we don’t self-destroy first).  </w:t>
      </w:r>
    </w:p>
    <w:p w:rsidR="008839EE" w:rsidRDefault="008839EE" w:rsidP="008839EE"/>
    <w:p w:rsidR="008839EE" w:rsidRDefault="008839EE" w:rsidP="008839EE">
      <w:pPr>
        <w:rPr>
          <w:spacing w:val="-2"/>
        </w:rPr>
      </w:pPr>
      <w:r>
        <w:rPr>
          <w:spacing w:val="-2"/>
        </w:rPr>
        <w:t xml:space="preserve">     S</w:t>
      </w:r>
      <w:r w:rsidRPr="00B52362">
        <w:rPr>
          <w:spacing w:val="-2"/>
        </w:rPr>
        <w:t>imply stated</w:t>
      </w:r>
      <w:r>
        <w:rPr>
          <w:spacing w:val="-2"/>
        </w:rPr>
        <w:t>,</w:t>
      </w:r>
      <w:r w:rsidRPr="00B52362">
        <w:rPr>
          <w:spacing w:val="-2"/>
        </w:rPr>
        <w:t xml:space="preserve"> what </w:t>
      </w:r>
      <w:smartTag w:uri="urn:schemas-microsoft-com:office:smarttags" w:element="City">
        <w:smartTag w:uri="urn:schemas-microsoft-com:office:smarttags" w:element="place">
          <w:r w:rsidRPr="00B52362">
            <w:rPr>
              <w:spacing w:val="-2"/>
            </w:rPr>
            <w:t>Flint</w:t>
          </w:r>
        </w:smartTag>
      </w:smartTag>
      <w:r w:rsidRPr="00B52362">
        <w:rPr>
          <w:spacing w:val="-2"/>
        </w:rPr>
        <w:t xml:space="preserve"> discovered was </w:t>
      </w:r>
      <w:r>
        <w:rPr>
          <w:spacing w:val="-2"/>
        </w:rPr>
        <w:t>a</w:t>
      </w:r>
      <w:r w:rsidRPr="00B52362">
        <w:rPr>
          <w:spacing w:val="-2"/>
        </w:rPr>
        <w:t xml:space="preserve"> simple algebraic relationship </w:t>
      </w:r>
      <w:r>
        <w:rPr>
          <w:spacing w:val="-2"/>
        </w:rPr>
        <w:t xml:space="preserve">(inverse and integral) that exists </w:t>
      </w:r>
      <w:r w:rsidRPr="00B52362">
        <w:rPr>
          <w:spacing w:val="-2"/>
        </w:rPr>
        <w:t xml:space="preserve">between </w:t>
      </w:r>
      <w:r>
        <w:rPr>
          <w:spacing w:val="-2"/>
        </w:rPr>
        <w:t>the atomic number</w:t>
      </w:r>
      <w:r w:rsidRPr="00B52362">
        <w:rPr>
          <w:spacing w:val="-2"/>
        </w:rPr>
        <w:t xml:space="preserve"> </w:t>
      </w:r>
      <w:r>
        <w:rPr>
          <w:spacing w:val="-2"/>
        </w:rPr>
        <w:t xml:space="preserve">(plus valence) of a given ion, </w:t>
      </w:r>
      <w:r w:rsidRPr="00B52362">
        <w:rPr>
          <w:spacing w:val="-2"/>
        </w:rPr>
        <w:t xml:space="preserve">and the </w:t>
      </w:r>
      <w:r>
        <w:rPr>
          <w:spacing w:val="-2"/>
        </w:rPr>
        <w:t xml:space="preserve">maximum and commonly-encountered </w:t>
      </w:r>
      <w:r w:rsidRPr="00B52362">
        <w:rPr>
          <w:spacing w:val="-2"/>
        </w:rPr>
        <w:t xml:space="preserve">numbers of water units that are associated with </w:t>
      </w:r>
      <w:r>
        <w:rPr>
          <w:spacing w:val="-2"/>
        </w:rPr>
        <w:t xml:space="preserve">it when that ion is </w:t>
      </w:r>
      <w:r w:rsidRPr="00B52362">
        <w:rPr>
          <w:spacing w:val="-2"/>
        </w:rPr>
        <w:t>dissolved in water</w:t>
      </w:r>
      <w:r>
        <w:rPr>
          <w:spacing w:val="-2"/>
        </w:rPr>
        <w:t xml:space="preserve">. This entity </w:t>
      </w:r>
      <w:r w:rsidRPr="00B52362">
        <w:rPr>
          <w:spacing w:val="-2"/>
        </w:rPr>
        <w:t xml:space="preserve">is commonly </w:t>
      </w:r>
      <w:r>
        <w:rPr>
          <w:spacing w:val="-2"/>
        </w:rPr>
        <w:t xml:space="preserve">referred to as </w:t>
      </w:r>
      <w:r w:rsidRPr="00B52362">
        <w:rPr>
          <w:spacing w:val="-2"/>
        </w:rPr>
        <w:t>the hydration number</w:t>
      </w:r>
      <w:r>
        <w:rPr>
          <w:spacing w:val="-2"/>
        </w:rPr>
        <w:t>, or respective hydration numbers, and their identities and underlying behavior remain among the greatest of mysteries of science.</w:t>
      </w:r>
    </w:p>
    <w:p w:rsidR="008839EE" w:rsidRDefault="008839EE" w:rsidP="008839EE">
      <w:pPr>
        <w:rPr>
          <w:spacing w:val="-2"/>
        </w:rPr>
      </w:pPr>
      <w:r>
        <w:rPr>
          <w:spacing w:val="-2"/>
        </w:rPr>
        <w:t xml:space="preserve">   The importance of the relation between water and things dissolved in or combined with it is immediately evident in the indispensable role of water in all of the physical sciences, prominently including</w:t>
      </w:r>
      <w:r w:rsidRPr="00D918E4">
        <w:rPr>
          <w:spacing w:val="-2"/>
        </w:rPr>
        <w:t xml:space="preserve"> </w:t>
      </w:r>
      <w:r>
        <w:rPr>
          <w:spacing w:val="-2"/>
        </w:rPr>
        <w:t xml:space="preserve">chemistry, physics and biology.  Thus even from a cursory glance it is clear that a true understanding of the interaction between water units and its varied associates is indeed a grand unifying scientific principle.  Conversely, were the object of scientific inquiry to be the discovery of a “grand unification” scheme, the unique and eminently sensible foundation for </w:t>
      </w:r>
    </w:p>
    <w:p w:rsidR="008839EE" w:rsidRPr="00024914" w:rsidRDefault="008839EE" w:rsidP="008839EE">
      <w:pPr>
        <w:jc w:val="center"/>
        <w:rPr>
          <w:b/>
          <w:spacing w:val="-2"/>
        </w:rPr>
      </w:pPr>
      <w:r w:rsidRPr="00024914">
        <w:rPr>
          <w:b/>
          <w:spacing w:val="-2"/>
        </w:rPr>
        <w:lastRenderedPageBreak/>
        <w:t>2</w:t>
      </w:r>
    </w:p>
    <w:p w:rsidR="008839EE" w:rsidRDefault="008839EE" w:rsidP="008839EE">
      <w:pPr>
        <w:rPr>
          <w:spacing w:val="-2"/>
        </w:rPr>
      </w:pPr>
    </w:p>
    <w:p w:rsidR="008839EE" w:rsidRDefault="008839EE" w:rsidP="008839EE">
      <w:pPr>
        <w:rPr>
          <w:spacing w:val="-2"/>
        </w:rPr>
      </w:pPr>
      <w:r>
        <w:rPr>
          <w:spacing w:val="-2"/>
        </w:rPr>
        <w:t>such a scheme would logically be the disclosure of the mechanism of interaction between water units and its associates.</w:t>
      </w:r>
    </w:p>
    <w:p w:rsidR="008839EE" w:rsidRDefault="008839EE" w:rsidP="008839EE">
      <w:pPr>
        <w:rPr>
          <w:spacing w:val="-2"/>
        </w:rPr>
      </w:pPr>
      <w:r>
        <w:rPr>
          <w:spacing w:val="-2"/>
        </w:rPr>
        <w:t xml:space="preserve"> </w:t>
      </w:r>
    </w:p>
    <w:p w:rsidR="008839EE" w:rsidRDefault="008839EE" w:rsidP="008839EE">
      <w:pPr>
        <w:shd w:val="clear" w:color="auto" w:fill="FFFFFF"/>
        <w:rPr>
          <w:color w:val="000000"/>
          <w:sz w:val="22"/>
          <w:szCs w:val="22"/>
        </w:rPr>
      </w:pPr>
      <w:r>
        <w:rPr>
          <w:color w:val="000000"/>
          <w:sz w:val="22"/>
          <w:szCs w:val="22"/>
        </w:rPr>
        <w:t xml:space="preserve">As disclosed by </w:t>
      </w:r>
      <w:smartTag w:uri="urn:schemas-microsoft-com:office:smarttags" w:element="City">
        <w:smartTag w:uri="urn:schemas-microsoft-com:office:smarttags" w:element="place">
          <w:r>
            <w:rPr>
              <w:color w:val="000000"/>
              <w:sz w:val="22"/>
              <w:szCs w:val="22"/>
            </w:rPr>
            <w:t>Flint</w:t>
          </w:r>
        </w:smartTag>
      </w:smartTag>
      <w:r>
        <w:rPr>
          <w:color w:val="000000"/>
          <w:sz w:val="22"/>
          <w:szCs w:val="22"/>
        </w:rPr>
        <w:t>, and more fully discussed in this volume, a subsequent volume (</w:t>
      </w:r>
      <w:r w:rsidRPr="00A915C7">
        <w:rPr>
          <w:i/>
          <w:color w:val="000000"/>
          <w:sz w:val="22"/>
          <w:szCs w:val="22"/>
        </w:rPr>
        <w:t>Hydration and Biology</w:t>
      </w:r>
      <w:r>
        <w:rPr>
          <w:color w:val="000000"/>
          <w:sz w:val="22"/>
          <w:szCs w:val="22"/>
        </w:rPr>
        <w:t xml:space="preserve">), and Shakman’s </w:t>
      </w:r>
      <w:r w:rsidRPr="00A915C7">
        <w:rPr>
          <w:i/>
          <w:color w:val="000000"/>
          <w:sz w:val="22"/>
          <w:szCs w:val="22"/>
        </w:rPr>
        <w:t>Principles of Hydration</w:t>
      </w:r>
      <w:r>
        <w:rPr>
          <w:color w:val="000000"/>
          <w:sz w:val="22"/>
          <w:szCs w:val="22"/>
        </w:rPr>
        <w:t xml:space="preserve">: </w:t>
      </w:r>
    </w:p>
    <w:p w:rsidR="008839EE" w:rsidRDefault="008839EE" w:rsidP="008839EE">
      <w:pPr>
        <w:shd w:val="clear" w:color="auto" w:fill="FFFFFF"/>
        <w:rPr>
          <w:color w:val="000000"/>
          <w:sz w:val="22"/>
          <w:szCs w:val="22"/>
        </w:rPr>
      </w:pPr>
    </w:p>
    <w:p w:rsidR="008839EE" w:rsidRDefault="008839EE" w:rsidP="008839EE">
      <w:pPr>
        <w:shd w:val="clear" w:color="auto" w:fill="FFFFFF"/>
        <w:rPr>
          <w:color w:val="000000"/>
          <w:sz w:val="22"/>
          <w:szCs w:val="22"/>
        </w:rPr>
      </w:pPr>
      <w:r>
        <w:rPr>
          <w:color w:val="000000"/>
          <w:sz w:val="22"/>
          <w:szCs w:val="22"/>
        </w:rPr>
        <w:t xml:space="preserve">Table 1.  </w:t>
      </w:r>
      <w:smartTag w:uri="urn:schemas-microsoft-com:office:smarttags" w:element="City">
        <w:smartTag w:uri="urn:schemas-microsoft-com:office:smarttags" w:element="place">
          <w:r>
            <w:rPr>
              <w:color w:val="000000"/>
              <w:sz w:val="22"/>
              <w:szCs w:val="22"/>
            </w:rPr>
            <w:t>Flint</w:t>
          </w:r>
        </w:smartTag>
      </w:smartTag>
      <w:r>
        <w:rPr>
          <w:color w:val="000000"/>
          <w:sz w:val="22"/>
          <w:szCs w:val="22"/>
        </w:rPr>
        <w:t>’s Description of Hydrational Potentiality</w:t>
      </w:r>
    </w:p>
    <w:p w:rsidR="008839EE" w:rsidRDefault="008839EE" w:rsidP="008839EE">
      <w:pPr>
        <w:shd w:val="clear" w:color="auto" w:fill="FFFFFF"/>
        <w:rPr>
          <w:color w:val="000000"/>
          <w:sz w:val="22"/>
          <w:szCs w:val="22"/>
        </w:rPr>
      </w:pPr>
    </w:p>
    <w:p w:rsidR="008839EE" w:rsidRDefault="008839EE" w:rsidP="008839EE">
      <w:pPr>
        <w:shd w:val="clear" w:color="auto" w:fill="FFFFFF"/>
        <w:rPr>
          <w:color w:val="000000"/>
          <w:sz w:val="22"/>
          <w:szCs w:val="22"/>
        </w:rPr>
      </w:pPr>
      <w:r>
        <w:rPr>
          <w:color w:val="000000"/>
          <w:sz w:val="22"/>
          <w:szCs w:val="22"/>
        </w:rPr>
        <w:t>H (the (maximum) hydration number) = 23n – (Z+C);</w:t>
      </w:r>
      <w:r>
        <w:rPr>
          <w:color w:val="000000"/>
          <w:sz w:val="22"/>
          <w:szCs w:val="22"/>
        </w:rPr>
        <w:br/>
        <w:t xml:space="preserve">when Z = atomic number; C = valence; and </w:t>
      </w:r>
    </w:p>
    <w:p w:rsidR="008839EE" w:rsidRDefault="008839EE" w:rsidP="008839EE">
      <w:pPr>
        <w:shd w:val="clear" w:color="auto" w:fill="FFFFFF"/>
        <w:rPr>
          <w:color w:val="000000"/>
          <w:sz w:val="22"/>
          <w:szCs w:val="22"/>
        </w:rPr>
      </w:pPr>
      <w:r>
        <w:rPr>
          <w:color w:val="000000"/>
          <w:sz w:val="22"/>
          <w:szCs w:val="22"/>
        </w:rPr>
        <w:t xml:space="preserve">n=1 for (Z+C)=0-23, </w:t>
      </w:r>
    </w:p>
    <w:p w:rsidR="008839EE" w:rsidRDefault="008839EE" w:rsidP="008839EE">
      <w:pPr>
        <w:shd w:val="clear" w:color="auto" w:fill="FFFFFF"/>
        <w:rPr>
          <w:color w:val="000000"/>
          <w:sz w:val="22"/>
          <w:szCs w:val="22"/>
        </w:rPr>
      </w:pPr>
      <w:r>
        <w:rPr>
          <w:color w:val="000000"/>
          <w:sz w:val="22"/>
          <w:szCs w:val="22"/>
        </w:rPr>
        <w:t xml:space="preserve">n=2 for (Z+C)=23-46, </w:t>
      </w:r>
    </w:p>
    <w:p w:rsidR="008839EE" w:rsidRDefault="008839EE" w:rsidP="008839EE">
      <w:pPr>
        <w:shd w:val="clear" w:color="auto" w:fill="FFFFFF"/>
        <w:rPr>
          <w:color w:val="000000"/>
          <w:sz w:val="22"/>
          <w:szCs w:val="22"/>
        </w:rPr>
      </w:pPr>
      <w:r>
        <w:rPr>
          <w:color w:val="000000"/>
          <w:sz w:val="22"/>
          <w:szCs w:val="22"/>
        </w:rPr>
        <w:t xml:space="preserve">n=3 for (Z+C)=46-69, </w:t>
      </w:r>
    </w:p>
    <w:p w:rsidR="008839EE" w:rsidRDefault="008839EE" w:rsidP="008839EE">
      <w:pPr>
        <w:shd w:val="clear" w:color="auto" w:fill="FFFFFF"/>
        <w:rPr>
          <w:color w:val="000000"/>
          <w:sz w:val="22"/>
          <w:szCs w:val="22"/>
        </w:rPr>
      </w:pPr>
      <w:r>
        <w:rPr>
          <w:color w:val="000000"/>
          <w:sz w:val="22"/>
          <w:szCs w:val="22"/>
        </w:rPr>
        <w:t>n=4 for (Z+C)=69-92; and within each of these periods, the maximum hydration number (H) decreases from 23 to zero.</w:t>
      </w:r>
    </w:p>
    <w:p w:rsidR="008839EE" w:rsidRDefault="008839EE" w:rsidP="008839EE">
      <w:pPr>
        <w:shd w:val="clear" w:color="auto" w:fill="FFFFFF"/>
        <w:rPr>
          <w:color w:val="000000"/>
          <w:sz w:val="22"/>
          <w:szCs w:val="22"/>
        </w:rPr>
      </w:pPr>
    </w:p>
    <w:p w:rsidR="008839EE" w:rsidRDefault="008839EE" w:rsidP="008839EE">
      <w:pPr>
        <w:shd w:val="clear" w:color="auto" w:fill="FFFFFF"/>
        <w:rPr>
          <w:color w:val="000000"/>
          <w:sz w:val="22"/>
          <w:szCs w:val="22"/>
        </w:rPr>
      </w:pPr>
      <w:r>
        <w:rPr>
          <w:color w:val="000000"/>
          <w:sz w:val="22"/>
          <w:szCs w:val="22"/>
        </w:rPr>
        <w:t>Figure 1. The Helical Structure of Hydrational Periodicity</w:t>
      </w:r>
    </w:p>
    <w:p w:rsidR="008839EE" w:rsidRDefault="008839EE" w:rsidP="008839EE">
      <w:r>
        <w:t xml:space="preserve">         As Z+C increases: 0-23, 23-46, 46-69, 69-92       </w:t>
      </w:r>
    </w:p>
    <w:p w:rsidR="008839EE" w:rsidRDefault="008839EE" w:rsidP="008839EE">
      <w:r>
        <w:t xml:space="preserve">                                                     →</w:t>
      </w:r>
    </w:p>
    <w:p w:rsidR="008839EE" w:rsidRDefault="00956137" w:rsidP="008839EE">
      <w:pPr>
        <w:rPr>
          <w:sz w:val="22"/>
          <w:szCs w:val="22"/>
        </w:rPr>
      </w:pPr>
      <w:r>
        <w:rPr>
          <w:noProof/>
        </w:rPr>
        <w:drawing>
          <wp:anchor distT="0" distB="0" distL="114935" distR="114935" simplePos="0" relativeHeight="251657728" behindDoc="0" locked="0" layoutInCell="1" allowOverlap="1">
            <wp:simplePos x="0" y="0"/>
            <wp:positionH relativeFrom="column">
              <wp:posOffset>617220</wp:posOffset>
            </wp:positionH>
            <wp:positionV relativeFrom="paragraph">
              <wp:posOffset>21590</wp:posOffset>
            </wp:positionV>
            <wp:extent cx="2971165" cy="2171065"/>
            <wp:effectExtent l="19050" t="0" r="63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2971165" cy="2171065"/>
                    </a:xfrm>
                    <a:prstGeom prst="rect">
                      <a:avLst/>
                    </a:prstGeom>
                    <a:solidFill>
                      <a:srgbClr val="FFFFFF"/>
                    </a:solidFill>
                    <a:ln w="9525">
                      <a:noFill/>
                      <a:miter lim="800000"/>
                      <a:headEnd/>
                      <a:tailEnd/>
                    </a:ln>
                  </pic:spPr>
                </pic:pic>
              </a:graphicData>
            </a:graphic>
          </wp:anchor>
        </w:drawing>
      </w:r>
      <w:r w:rsidR="008839EE">
        <w:rPr>
          <w:sz w:val="22"/>
          <w:szCs w:val="22"/>
        </w:rPr>
        <w:t>Z    92</w:t>
      </w:r>
    </w:p>
    <w:p w:rsidR="008839EE" w:rsidRDefault="008839EE" w:rsidP="008839EE">
      <w:pPr>
        <w:rPr>
          <w:sz w:val="22"/>
          <w:szCs w:val="22"/>
        </w:rPr>
      </w:pPr>
      <w:r>
        <w:rPr>
          <w:sz w:val="22"/>
          <w:szCs w:val="22"/>
        </w:rPr>
        <w:t>+         ↑     80</w:t>
      </w:r>
    </w:p>
    <w:p w:rsidR="008839EE" w:rsidRDefault="008839EE" w:rsidP="008839EE">
      <w:pPr>
        <w:rPr>
          <w:sz w:val="22"/>
          <w:szCs w:val="22"/>
        </w:rPr>
      </w:pPr>
      <w:r>
        <w:rPr>
          <w:sz w:val="22"/>
          <w:szCs w:val="22"/>
        </w:rPr>
        <w:t xml:space="preserve">C                         81 </w:t>
      </w:r>
    </w:p>
    <w:p w:rsidR="008839EE" w:rsidRDefault="008839EE" w:rsidP="008839EE">
      <w:pPr>
        <w:rPr>
          <w:sz w:val="22"/>
          <w:szCs w:val="22"/>
        </w:rPr>
      </w:pPr>
      <w:r>
        <w:rPr>
          <w:sz w:val="22"/>
          <w:szCs w:val="22"/>
        </w:rPr>
        <w:t xml:space="preserve">      69 ↑</w:t>
      </w:r>
    </w:p>
    <w:p w:rsidR="008839EE" w:rsidRDefault="008839EE" w:rsidP="008839EE">
      <w:pPr>
        <w:rPr>
          <w:sz w:val="22"/>
          <w:szCs w:val="22"/>
        </w:rPr>
      </w:pPr>
      <w:r>
        <w:rPr>
          <w:sz w:val="22"/>
          <w:szCs w:val="22"/>
        </w:rPr>
        <w:t xml:space="preserve">            57  </w:t>
      </w:r>
    </w:p>
    <w:p w:rsidR="008839EE" w:rsidRDefault="008839EE" w:rsidP="008839EE">
      <w:pPr>
        <w:rPr>
          <w:sz w:val="22"/>
          <w:szCs w:val="22"/>
        </w:rPr>
      </w:pPr>
      <w:r>
        <w:rPr>
          <w:sz w:val="22"/>
          <w:szCs w:val="22"/>
        </w:rPr>
        <w:t xml:space="preserve">                       58</w:t>
      </w:r>
    </w:p>
    <w:p w:rsidR="008839EE" w:rsidRDefault="008839EE" w:rsidP="008839EE">
      <w:pPr>
        <w:rPr>
          <w:sz w:val="22"/>
          <w:szCs w:val="22"/>
        </w:rPr>
      </w:pPr>
      <w:r>
        <w:rPr>
          <w:sz w:val="22"/>
          <w:szCs w:val="22"/>
        </w:rPr>
        <w:t xml:space="preserve">      46 ↑</w:t>
      </w:r>
    </w:p>
    <w:p w:rsidR="008839EE" w:rsidRDefault="008839EE" w:rsidP="008839EE">
      <w:pPr>
        <w:rPr>
          <w:sz w:val="22"/>
          <w:szCs w:val="22"/>
        </w:rPr>
      </w:pPr>
      <w:r>
        <w:rPr>
          <w:sz w:val="22"/>
          <w:szCs w:val="22"/>
        </w:rPr>
        <w:t xml:space="preserve">                                                34  </w:t>
      </w:r>
    </w:p>
    <w:p w:rsidR="008839EE" w:rsidRDefault="008839EE" w:rsidP="008839EE">
      <w:pPr>
        <w:rPr>
          <w:sz w:val="22"/>
          <w:szCs w:val="22"/>
        </w:rPr>
      </w:pPr>
      <w:r>
        <w:rPr>
          <w:sz w:val="22"/>
          <w:szCs w:val="22"/>
        </w:rPr>
        <w:t xml:space="preserve">                                       35</w:t>
      </w:r>
    </w:p>
    <w:p w:rsidR="008839EE" w:rsidRDefault="008839EE" w:rsidP="008839EE">
      <w:pPr>
        <w:rPr>
          <w:sz w:val="22"/>
          <w:szCs w:val="22"/>
        </w:rPr>
      </w:pPr>
      <w:r>
        <w:rPr>
          <w:sz w:val="22"/>
          <w:szCs w:val="22"/>
        </w:rPr>
        <w:t xml:space="preserve">      23 ↑</w:t>
      </w:r>
    </w:p>
    <w:p w:rsidR="008839EE" w:rsidRDefault="008839EE" w:rsidP="008839EE">
      <w:pPr>
        <w:rPr>
          <w:sz w:val="22"/>
          <w:szCs w:val="22"/>
        </w:rPr>
      </w:pPr>
      <w:r>
        <w:rPr>
          <w:sz w:val="22"/>
          <w:szCs w:val="22"/>
        </w:rPr>
        <w:t xml:space="preserve">                                                                  11  </w:t>
      </w:r>
    </w:p>
    <w:p w:rsidR="008839EE" w:rsidRDefault="008839EE" w:rsidP="008839EE">
      <w:pPr>
        <w:rPr>
          <w:sz w:val="22"/>
          <w:szCs w:val="22"/>
        </w:rPr>
      </w:pPr>
      <w:r>
        <w:rPr>
          <w:sz w:val="22"/>
          <w:szCs w:val="22"/>
        </w:rPr>
        <w:t xml:space="preserve">                                                                                           12</w:t>
      </w:r>
    </w:p>
    <w:p w:rsidR="008839EE" w:rsidRDefault="008839EE" w:rsidP="008839EE">
      <w:pPr>
        <w:rPr>
          <w:sz w:val="22"/>
          <w:szCs w:val="22"/>
        </w:rPr>
      </w:pPr>
      <w:r>
        <w:rPr>
          <w:sz w:val="22"/>
          <w:szCs w:val="22"/>
        </w:rPr>
        <w:t xml:space="preserve">       0  ↑</w:t>
      </w:r>
    </w:p>
    <w:p w:rsidR="008839EE" w:rsidRDefault="008839EE" w:rsidP="008839EE">
      <w:pPr>
        <w:rPr>
          <w:sz w:val="22"/>
          <w:szCs w:val="22"/>
        </w:rPr>
      </w:pPr>
      <w:r>
        <w:rPr>
          <w:sz w:val="22"/>
          <w:szCs w:val="22"/>
        </w:rPr>
        <w:t xml:space="preserve">                                   </w:t>
      </w:r>
    </w:p>
    <w:p w:rsidR="008839EE" w:rsidRDefault="008839EE" w:rsidP="008839EE">
      <w:pPr>
        <w:rPr>
          <w:sz w:val="22"/>
          <w:szCs w:val="22"/>
        </w:rPr>
      </w:pPr>
      <w:r>
        <w:rPr>
          <w:sz w:val="22"/>
          <w:szCs w:val="22"/>
        </w:rPr>
        <w:t xml:space="preserve">                                                                ←    </w:t>
      </w:r>
    </w:p>
    <w:p w:rsidR="008839EE" w:rsidRDefault="008839EE" w:rsidP="008839EE">
      <w:pPr>
        <w:rPr>
          <w:sz w:val="22"/>
          <w:szCs w:val="22"/>
        </w:rPr>
      </w:pPr>
      <w:r>
        <w:rPr>
          <w:sz w:val="22"/>
          <w:szCs w:val="22"/>
        </w:rPr>
        <w:t xml:space="preserve">                  H decreases from 23 to 0, repetitively.</w:t>
      </w:r>
    </w:p>
    <w:p w:rsidR="008839EE" w:rsidRDefault="008839EE" w:rsidP="008839EE">
      <w:pPr>
        <w:rPr>
          <w:sz w:val="22"/>
          <w:szCs w:val="22"/>
        </w:rPr>
      </w:pPr>
      <w:r>
        <w:rPr>
          <w:sz w:val="22"/>
          <w:szCs w:val="22"/>
        </w:rPr>
        <w:t xml:space="preserve">                                             </w:t>
      </w:r>
    </w:p>
    <w:p w:rsidR="008839EE" w:rsidRDefault="008839EE" w:rsidP="008839EE">
      <w:pPr>
        <w:rPr>
          <w:sz w:val="22"/>
          <w:szCs w:val="22"/>
        </w:rPr>
      </w:pPr>
      <w:r>
        <w:rPr>
          <w:sz w:val="22"/>
          <w:szCs w:val="22"/>
        </w:rPr>
        <w:t xml:space="preserve">                      21   20   19   18    17   16   15    14 </w:t>
      </w:r>
    </w:p>
    <w:p w:rsidR="008839EE" w:rsidRDefault="008839EE" w:rsidP="008839EE">
      <w:pPr>
        <w:rPr>
          <w:sz w:val="22"/>
          <w:szCs w:val="22"/>
        </w:rPr>
      </w:pPr>
      <w:r>
        <w:rPr>
          <w:sz w:val="22"/>
          <w:szCs w:val="22"/>
        </w:rPr>
        <w:t xml:space="preserve">              22                              →                              13       ↓</w:t>
      </w:r>
    </w:p>
    <w:p w:rsidR="008839EE" w:rsidRDefault="008839EE" w:rsidP="008839EE">
      <w:pPr>
        <w:rPr>
          <w:sz w:val="22"/>
          <w:szCs w:val="22"/>
        </w:rPr>
      </w:pPr>
      <w:r>
        <w:rPr>
          <w:sz w:val="22"/>
          <w:szCs w:val="22"/>
        </w:rPr>
        <w:t>H:   ↑  23                                                                        12  ↓</w:t>
      </w:r>
    </w:p>
    <w:p w:rsidR="008839EE" w:rsidRDefault="008839EE" w:rsidP="008839EE">
      <w:pPr>
        <w:rPr>
          <w:sz w:val="22"/>
          <w:szCs w:val="22"/>
        </w:rPr>
      </w:pPr>
      <w:r>
        <w:rPr>
          <w:sz w:val="22"/>
          <w:szCs w:val="22"/>
        </w:rPr>
        <w:t xml:space="preserve">       ↑   0                                                                         11</w:t>
      </w:r>
    </w:p>
    <w:p w:rsidR="008839EE" w:rsidRDefault="008839EE" w:rsidP="008839EE">
      <w:pPr>
        <w:rPr>
          <w:sz w:val="22"/>
          <w:szCs w:val="22"/>
        </w:rPr>
      </w:pPr>
      <w:r>
        <w:rPr>
          <w:sz w:val="22"/>
          <w:szCs w:val="22"/>
        </w:rPr>
        <w:t xml:space="preserve">                1                              ←                               10</w:t>
      </w:r>
    </w:p>
    <w:p w:rsidR="008839EE" w:rsidRDefault="008839EE" w:rsidP="008839EE">
      <w:pPr>
        <w:rPr>
          <w:sz w:val="22"/>
          <w:szCs w:val="22"/>
        </w:rPr>
      </w:pPr>
      <w:r>
        <w:rPr>
          <w:sz w:val="22"/>
          <w:szCs w:val="22"/>
        </w:rPr>
        <w:t xml:space="preserve">                        2      3     4     5      6      7     8      9</w:t>
      </w:r>
    </w:p>
    <w:p w:rsidR="008839EE" w:rsidRPr="00024914" w:rsidRDefault="008839EE" w:rsidP="008839EE">
      <w:pPr>
        <w:jc w:val="center"/>
        <w:rPr>
          <w:b/>
          <w:color w:val="000000"/>
        </w:rPr>
      </w:pPr>
      <w:r w:rsidRPr="00024914">
        <w:rPr>
          <w:b/>
          <w:color w:val="000000"/>
        </w:rPr>
        <w:lastRenderedPageBreak/>
        <w:t>3</w:t>
      </w:r>
    </w:p>
    <w:p w:rsidR="008839EE" w:rsidRDefault="008839EE" w:rsidP="008839EE">
      <w:pPr>
        <w:rPr>
          <w:spacing w:val="-2"/>
        </w:rPr>
      </w:pPr>
    </w:p>
    <w:p w:rsidR="008839EE" w:rsidRDefault="008839EE" w:rsidP="008839EE">
      <w:pPr>
        <w:rPr>
          <w:spacing w:val="-2"/>
        </w:rPr>
      </w:pPr>
      <w:r>
        <w:rPr>
          <w:spacing w:val="-2"/>
        </w:rPr>
        <w:t xml:space="preserve">    With the benefit of hindsight, we may illustrate </w:t>
      </w:r>
      <w:smartTag w:uri="urn:schemas-microsoft-com:office:smarttags" w:element="City">
        <w:smartTag w:uri="urn:schemas-microsoft-com:office:smarttags" w:element="place">
          <w:r>
            <w:rPr>
              <w:spacing w:val="-2"/>
            </w:rPr>
            <w:t>Flint</w:t>
          </w:r>
        </w:smartTag>
      </w:smartTag>
      <w:r>
        <w:rPr>
          <w:spacing w:val="-2"/>
        </w:rPr>
        <w:t>’s discovery with direct calculations from well-established non-controversial fundamental data. The data set is comprised of “limiting ionic conductivities”, i.e., the relative amounts of electrical current conveyed by the various ions in solution.  A tremendous amount of research energy was expended in this area particularly around the turn of centuries, from the19</w:t>
      </w:r>
      <w:r w:rsidRPr="00096BC3">
        <w:rPr>
          <w:spacing w:val="-2"/>
          <w:vertAlign w:val="superscript"/>
        </w:rPr>
        <w:t>th</w:t>
      </w:r>
      <w:r>
        <w:rPr>
          <w:spacing w:val="-2"/>
        </w:rPr>
        <w:t xml:space="preserve"> to the 20</w:t>
      </w:r>
      <w:r w:rsidRPr="00096BC3">
        <w:rPr>
          <w:spacing w:val="-2"/>
          <w:vertAlign w:val="superscript"/>
        </w:rPr>
        <w:t>th</w:t>
      </w:r>
      <w:r>
        <w:rPr>
          <w:spacing w:val="-2"/>
        </w:rPr>
        <w:t>.  Prominent in these researches are found the great names of science of the era, van’t Hoff, Nernst, Arrhenius, Kohlrausch and others, including the particularly exhaustive efforts of Harry Jones of the Carnegie Foundation. In this quest, this particular line of inquiry was indispensably enabled by Kohlrausch, whose law of independent migration of ions enabled conductivities of the individual ions to be separated out from the measured conductance of various solutes (e.g., NaCl, KCl, etc.), and  isolated for examination in the form of “limiting ionic conductivities”</w:t>
      </w:r>
      <w:r w:rsidRPr="00F97FA0">
        <w:rPr>
          <w:spacing w:val="-2"/>
        </w:rPr>
        <w:t xml:space="preserve"> </w:t>
      </w:r>
      <w:r>
        <w:rPr>
          <w:spacing w:val="-2"/>
        </w:rPr>
        <w:t>(e.g., Na+, K+, etc).  At the same time, these values are also known to represent the relative mobilities, or velocities, of the given ions.</w:t>
      </w:r>
    </w:p>
    <w:p w:rsidR="008839EE" w:rsidRDefault="008839EE" w:rsidP="008839EE">
      <w:pPr>
        <w:rPr>
          <w:spacing w:val="-2"/>
        </w:rPr>
      </w:pPr>
    </w:p>
    <w:p w:rsidR="008839EE" w:rsidRDefault="008839EE" w:rsidP="008839EE">
      <w:pPr>
        <w:rPr>
          <w:spacing w:val="-2"/>
        </w:rPr>
      </w:pPr>
      <w:r>
        <w:rPr>
          <w:spacing w:val="-2"/>
        </w:rPr>
        <w:t xml:space="preserve">     The bases for this illustration of direct calculation of hydration numbers, from limiting ionic conductivities, are the same as used by </w:t>
      </w:r>
      <w:smartTag w:uri="urn:schemas-microsoft-com:office:smarttags" w:element="City">
        <w:smartTag w:uri="urn:schemas-microsoft-com:office:smarttags" w:element="place">
          <w:r>
            <w:rPr>
              <w:spacing w:val="-2"/>
            </w:rPr>
            <w:t>Flint</w:t>
          </w:r>
        </w:smartTag>
      </w:smartTag>
      <w:r>
        <w:rPr>
          <w:spacing w:val="-2"/>
        </w:rPr>
        <w:t xml:space="preserve"> in his discovery. The fundamental principles are </w:t>
      </w:r>
    </w:p>
    <w:p w:rsidR="008839EE" w:rsidRDefault="008839EE" w:rsidP="008839EE">
      <w:pPr>
        <w:rPr>
          <w:spacing w:val="-2"/>
        </w:rPr>
      </w:pPr>
      <w:r>
        <w:rPr>
          <w:spacing w:val="-2"/>
        </w:rPr>
        <w:t xml:space="preserve">(1) van’t Hoff’s decisive demonstration of the analogy between gaseous (atmospheric pressure) and solute (osmotic pressure) behavior [for which van’t Hoff was awarded the first Nobel], and </w:t>
      </w:r>
    </w:p>
    <w:p w:rsidR="008839EE" w:rsidRDefault="008839EE" w:rsidP="008839EE">
      <w:pPr>
        <w:rPr>
          <w:spacing w:val="-2"/>
        </w:rPr>
      </w:pPr>
      <w:r>
        <w:rPr>
          <w:spacing w:val="-2"/>
        </w:rPr>
        <w:t xml:space="preserve">(2) the principle formerly known  as Graham’s law  (now implicit within the law of kinetic energy), whereby gaseous velocity into a vacuum varies inversely with the square-root of the mass – in other words, a gas with 4 times the mass will travel half as fast, with 9 times the mass, 1/3 as fast, etc.  </w:t>
      </w:r>
    </w:p>
    <w:p w:rsidR="008839EE" w:rsidRDefault="008839EE" w:rsidP="008839EE">
      <w:pPr>
        <w:rPr>
          <w:spacing w:val="-2"/>
        </w:rPr>
      </w:pPr>
    </w:p>
    <w:p w:rsidR="008839EE" w:rsidRDefault="008839EE" w:rsidP="008839EE">
      <w:pPr>
        <w:rPr>
          <w:spacing w:val="-2"/>
        </w:rPr>
      </w:pPr>
      <w:r>
        <w:rPr>
          <w:spacing w:val="-2"/>
        </w:rPr>
        <w:t xml:space="preserve">     While these two principles were well-established by the time of </w:t>
      </w:r>
      <w:smartTag w:uri="urn:schemas-microsoft-com:office:smarttags" w:element="City">
        <w:smartTag w:uri="urn:schemas-microsoft-com:office:smarttags" w:element="place">
          <w:r>
            <w:rPr>
              <w:spacing w:val="-2"/>
            </w:rPr>
            <w:t>Flint</w:t>
          </w:r>
        </w:smartTag>
      </w:smartTag>
      <w:r>
        <w:rPr>
          <w:spacing w:val="-2"/>
        </w:rPr>
        <w:t xml:space="preserve"> (1932), it does not appear that anyone prior to </w:t>
      </w:r>
      <w:smartTag w:uri="urn:schemas-microsoft-com:office:smarttags" w:element="City">
        <w:smartTag w:uri="urn:schemas-microsoft-com:office:smarttags" w:element="place">
          <w:r>
            <w:rPr>
              <w:spacing w:val="-2"/>
            </w:rPr>
            <w:t>Flint</w:t>
          </w:r>
        </w:smartTag>
      </w:smartTag>
      <w:r>
        <w:rPr>
          <w:spacing w:val="-2"/>
        </w:rPr>
        <w:t xml:space="preserve"> had attempted to use these in conjunction with ionic conductivities/ mobilities to attempt to determine relative hydration numbers.  While Flint was apparently working from, and adjusting numbers of, Bousfield that were cited in Flint’s graduate school Bayliss physiology text (see Flint 1932 and Shakman’s </w:t>
      </w:r>
      <w:r w:rsidRPr="009D488B">
        <w:rPr>
          <w:i/>
          <w:spacing w:val="-2"/>
        </w:rPr>
        <w:t>Principles of Hydration</w:t>
      </w:r>
      <w:r>
        <w:rPr>
          <w:spacing w:val="-2"/>
        </w:rPr>
        <w:t xml:space="preserve"> 2014 for further discussion), herein, in Table 2 and Figure 2, is an illustration of Flint’s discovery directly </w:t>
      </w:r>
    </w:p>
    <w:p w:rsidR="008839EE" w:rsidRPr="00024914" w:rsidRDefault="008839EE" w:rsidP="008839EE">
      <w:pPr>
        <w:jc w:val="center"/>
        <w:rPr>
          <w:b/>
          <w:spacing w:val="-2"/>
        </w:rPr>
      </w:pPr>
      <w:r>
        <w:rPr>
          <w:spacing w:val="-2"/>
        </w:rPr>
        <w:br w:type="page"/>
      </w:r>
      <w:r w:rsidRPr="00024914">
        <w:rPr>
          <w:b/>
          <w:spacing w:val="-2"/>
        </w:rPr>
        <w:lastRenderedPageBreak/>
        <w:t>4</w:t>
      </w:r>
    </w:p>
    <w:p w:rsidR="008839EE" w:rsidRDefault="008839EE" w:rsidP="008839EE">
      <w:pPr>
        <w:rPr>
          <w:spacing w:val="-2"/>
        </w:rPr>
      </w:pPr>
    </w:p>
    <w:p w:rsidR="008839EE" w:rsidRDefault="008839EE" w:rsidP="008839EE">
      <w:pPr>
        <w:rPr>
          <w:color w:val="000000"/>
          <w:sz w:val="22"/>
          <w:szCs w:val="22"/>
        </w:rPr>
      </w:pPr>
      <w:r>
        <w:rPr>
          <w:spacing w:val="-2"/>
        </w:rPr>
        <w:t xml:space="preserve">calculated from conductivity data kindly provided through referral in 1996 by Prof. Howard Reiss of UCLA to the then-current textbook, </w:t>
      </w:r>
      <w:r>
        <w:rPr>
          <w:color w:val="000000"/>
          <w:sz w:val="22"/>
          <w:szCs w:val="22"/>
          <w:shd w:val="clear" w:color="auto" w:fill="FFFFFF"/>
        </w:rPr>
        <w:t xml:space="preserve">Noggle, J.H., </w:t>
      </w:r>
      <w:r w:rsidRPr="009D488B">
        <w:rPr>
          <w:i/>
          <w:color w:val="000000"/>
          <w:sz w:val="22"/>
          <w:szCs w:val="22"/>
          <w:shd w:val="clear" w:color="auto" w:fill="FFFFFF"/>
        </w:rPr>
        <w:t>Physical Chemistry</w:t>
      </w:r>
      <w:r>
        <w:rPr>
          <w:color w:val="000000"/>
          <w:sz w:val="22"/>
          <w:szCs w:val="22"/>
          <w:shd w:val="clear" w:color="auto" w:fill="FFFFFF"/>
        </w:rPr>
        <w:t>, 1996, p. 411.</w:t>
      </w:r>
      <w:r>
        <w:rPr>
          <w:color w:val="000000"/>
          <w:sz w:val="22"/>
          <w:szCs w:val="22"/>
        </w:rPr>
        <w:t> </w:t>
      </w:r>
    </w:p>
    <w:p w:rsidR="008839EE" w:rsidRDefault="008839EE" w:rsidP="008839EE">
      <w:pPr>
        <w:rPr>
          <w:spacing w:val="-2"/>
        </w:rPr>
      </w:pPr>
    </w:p>
    <w:p w:rsidR="008839EE" w:rsidRDefault="008839EE" w:rsidP="008839EE">
      <w:pPr>
        <w:shd w:val="clear" w:color="auto" w:fill="FFFFFF"/>
        <w:rPr>
          <w:color w:val="000000"/>
          <w:sz w:val="22"/>
          <w:szCs w:val="22"/>
        </w:rPr>
      </w:pPr>
      <w:r>
        <w:rPr>
          <w:color w:val="000000"/>
          <w:sz w:val="22"/>
          <w:szCs w:val="22"/>
        </w:rPr>
        <w:t>Direct Calculation of Hydration Numbers (This direct calculation method had been proposed but not published, registered as</w:t>
      </w:r>
      <w:r>
        <w:rPr>
          <w:bCs/>
          <w:i/>
          <w:iCs/>
          <w:color w:val="000000"/>
          <w:sz w:val="22"/>
          <w:szCs w:val="22"/>
        </w:rPr>
        <w:t>Nature SXA011)</w:t>
      </w:r>
      <w:r>
        <w:rPr>
          <w:color w:val="000000"/>
          <w:sz w:val="22"/>
          <w:szCs w:val="22"/>
        </w:rPr>
        <w:t>) </w:t>
      </w:r>
    </w:p>
    <w:p w:rsidR="008839EE" w:rsidRDefault="008839EE" w:rsidP="008839EE">
      <w:pPr>
        <w:rPr>
          <w:color w:val="000000"/>
          <w:sz w:val="22"/>
          <w:szCs w:val="22"/>
          <w:shd w:val="clear" w:color="auto" w:fill="FFFFFF"/>
        </w:rPr>
      </w:pPr>
    </w:p>
    <w:p w:rsidR="008839EE" w:rsidRPr="00B439EC" w:rsidRDefault="008839EE" w:rsidP="008839EE">
      <w:pPr>
        <w:rPr>
          <w:color w:val="000000"/>
          <w:sz w:val="22"/>
          <w:szCs w:val="22"/>
        </w:rPr>
      </w:pPr>
      <w:r>
        <w:rPr>
          <w:color w:val="000000"/>
          <w:sz w:val="22"/>
          <w:szCs w:val="22"/>
          <w:shd w:val="clear" w:color="auto" w:fill="FFFFFF"/>
        </w:rPr>
        <w:t>There are three steps involved in the calculation of hydration numbers from equivalent ionic conductivities:</w:t>
      </w:r>
      <w:r>
        <w:rPr>
          <w:color w:val="000000"/>
          <w:sz w:val="22"/>
          <w:szCs w:val="22"/>
        </w:rPr>
        <w:br/>
      </w:r>
      <w:r>
        <w:rPr>
          <w:color w:val="000000"/>
          <w:sz w:val="22"/>
          <w:szCs w:val="22"/>
          <w:shd w:val="clear" w:color="auto" w:fill="FFFFFF"/>
        </w:rPr>
        <w:t>(a) total (relative) ionic weights are derived as the inverse-square of respective conductivities, and adjusted relative to the value of a base ion assumed to be anhydrous;</w:t>
      </w:r>
      <w:r>
        <w:rPr>
          <w:color w:val="000000"/>
          <w:sz w:val="22"/>
          <w:szCs w:val="22"/>
        </w:rPr>
        <w:br/>
      </w:r>
      <w:r>
        <w:rPr>
          <w:color w:val="000000"/>
          <w:sz w:val="22"/>
          <w:szCs w:val="22"/>
          <w:shd w:val="clear" w:color="auto" w:fill="FFFFFF"/>
        </w:rPr>
        <w:t>(b) weights of anhydrous solutes are subtracted from total ionic weights to derive weights of water of hydration associated with respective ions;</w:t>
      </w:r>
      <w:r>
        <w:rPr>
          <w:color w:val="000000"/>
          <w:sz w:val="22"/>
          <w:szCs w:val="22"/>
        </w:rPr>
        <w:t> </w:t>
      </w:r>
      <w:r>
        <w:rPr>
          <w:color w:val="000000"/>
          <w:sz w:val="22"/>
          <w:szCs w:val="22"/>
        </w:rPr>
        <w:br/>
      </w:r>
      <w:r>
        <w:rPr>
          <w:color w:val="000000"/>
          <w:sz w:val="22"/>
          <w:szCs w:val="22"/>
          <w:shd w:val="clear" w:color="auto" w:fill="FFFFFF"/>
        </w:rPr>
        <w:t>(c) weights of water of hydration are divided by weight per water unit (18) to derive numbers of water units (hydration number) associated with respective ions.</w:t>
      </w:r>
      <w:r>
        <w:rPr>
          <w:color w:val="000000"/>
          <w:sz w:val="22"/>
          <w:szCs w:val="22"/>
        </w:rPr>
        <w:t> </w:t>
      </w:r>
      <w:r>
        <w:rPr>
          <w:color w:val="000000"/>
          <w:sz w:val="22"/>
          <w:szCs w:val="22"/>
        </w:rPr>
        <w:br/>
      </w:r>
    </w:p>
    <w:p w:rsidR="008839EE" w:rsidRDefault="008839EE" w:rsidP="008839EE">
      <w:pPr>
        <w:rPr>
          <w:color w:val="000000"/>
          <w:sz w:val="22"/>
          <w:szCs w:val="22"/>
          <w:shd w:val="clear" w:color="auto" w:fill="FFFFFF"/>
        </w:rPr>
      </w:pPr>
      <w:r>
        <w:rPr>
          <w:color w:val="000000"/>
          <w:sz w:val="22"/>
          <w:szCs w:val="22"/>
          <w:shd w:val="clear" w:color="auto" w:fill="FFFFFF"/>
        </w:rPr>
        <w:t xml:space="preserve">Equation used in calculations, Table 2 and Figure 2: </w:t>
      </w:r>
    </w:p>
    <w:p w:rsidR="008839EE" w:rsidRDefault="008839EE" w:rsidP="008839EE">
      <w:pPr>
        <w:rPr>
          <w:color w:val="000000"/>
          <w:sz w:val="22"/>
          <w:szCs w:val="22"/>
          <w:shd w:val="clear" w:color="auto" w:fill="FFFFFF"/>
        </w:rPr>
      </w:pPr>
      <w:r>
        <w:rPr>
          <w:color w:val="000000"/>
          <w:sz w:val="22"/>
          <w:szCs w:val="22"/>
          <w:shd w:val="clear" w:color="auto" w:fill="FFFFFF"/>
        </w:rPr>
        <w:t xml:space="preserve">Hcalc (calculated Hydration number = </w:t>
      </w:r>
    </w:p>
    <w:p w:rsidR="008839EE" w:rsidRDefault="008839EE" w:rsidP="008839EE">
      <w:pPr>
        <w:rPr>
          <w:color w:val="000000"/>
          <w:sz w:val="22"/>
          <w:szCs w:val="22"/>
          <w:shd w:val="clear" w:color="auto" w:fill="FFFFFF"/>
        </w:rPr>
      </w:pPr>
      <w:r>
        <w:rPr>
          <w:color w:val="000000"/>
          <w:sz w:val="22"/>
          <w:szCs w:val="22"/>
          <w:shd w:val="clear" w:color="auto" w:fill="FFFFFF"/>
        </w:rPr>
        <w:t>(k/(conductance</w:t>
      </w:r>
      <w:r>
        <w:rPr>
          <w:color w:val="000000"/>
          <w:sz w:val="22"/>
          <w:szCs w:val="22"/>
          <w:shd w:val="clear" w:color="auto" w:fill="FFFFFF"/>
          <w:vertAlign w:val="superscript"/>
        </w:rPr>
        <w:t>2</w:t>
      </w:r>
      <w:r>
        <w:rPr>
          <w:color w:val="000000"/>
          <w:sz w:val="22"/>
          <w:szCs w:val="22"/>
          <w:shd w:val="clear" w:color="auto" w:fill="FFFFFF"/>
        </w:rPr>
        <w:t>) - AW)/18; k (constant in calculations) =517336</w:t>
      </w:r>
    </w:p>
    <w:p w:rsidR="008839EE" w:rsidRDefault="008839EE" w:rsidP="008839EE">
      <w:pPr>
        <w:rPr>
          <w:color w:val="000000"/>
          <w:sz w:val="22"/>
          <w:szCs w:val="22"/>
          <w:shd w:val="clear" w:color="auto" w:fill="FFFFFF"/>
        </w:rPr>
      </w:pPr>
    </w:p>
    <w:p w:rsidR="008839EE" w:rsidRDefault="008839EE" w:rsidP="008839EE">
      <w:pPr>
        <w:rPr>
          <w:color w:val="000000"/>
          <w:sz w:val="22"/>
          <w:szCs w:val="22"/>
          <w:shd w:val="clear" w:color="auto" w:fill="FFFFFF"/>
        </w:rPr>
      </w:pPr>
      <w:r>
        <w:rPr>
          <w:color w:val="000000"/>
          <w:sz w:val="22"/>
          <w:szCs w:val="22"/>
          <w:shd w:val="clear" w:color="auto" w:fill="FFFFFF"/>
        </w:rPr>
        <w:t>This constant corrects all values relative to an atomic weight of 85.4768 for the “base” ion Rb+, which for the purpose of this set of calculations is assumed to be anhydrous, i.e., to have a hydration number of zero.</w:t>
      </w:r>
    </w:p>
    <w:p w:rsidR="008839EE" w:rsidRDefault="008839EE" w:rsidP="008839EE">
      <w:pPr>
        <w:rPr>
          <w:color w:val="000000"/>
          <w:sz w:val="22"/>
          <w:szCs w:val="22"/>
        </w:rPr>
      </w:pPr>
      <w:r>
        <w:rPr>
          <w:color w:val="000000"/>
          <w:sz w:val="22"/>
          <w:szCs w:val="22"/>
        </w:rPr>
        <w:t xml:space="preserve"> </w:t>
      </w:r>
      <w:r>
        <w:rPr>
          <w:color w:val="000000"/>
          <w:sz w:val="22"/>
          <w:szCs w:val="22"/>
        </w:rPr>
        <w:br/>
      </w:r>
      <w:r>
        <w:rPr>
          <w:color w:val="000000"/>
          <w:sz w:val="22"/>
          <w:szCs w:val="22"/>
          <w:shd w:val="clear" w:color="auto" w:fill="FFFFFF"/>
        </w:rPr>
        <w:t>Figure 2 plots calculated hydration numbers against respective sums of atomic number and valence. The inverse linear result shown in Figure 1 illustrates the essential foundation of the methodology first encountered and discussed by L. H. Flint in 1932</w:t>
      </w:r>
      <w:r>
        <w:rPr>
          <w:color w:val="000000"/>
          <w:sz w:val="22"/>
          <w:szCs w:val="22"/>
          <w:shd w:val="clear" w:color="auto" w:fill="FFFFFF"/>
          <w:vertAlign w:val="superscript"/>
        </w:rPr>
        <w:t>3</w:t>
      </w:r>
      <w:r>
        <w:rPr>
          <w:color w:val="000000"/>
          <w:sz w:val="22"/>
          <w:szCs w:val="22"/>
          <w:shd w:val="clear" w:color="auto" w:fill="FFFFFF"/>
        </w:rPr>
        <w:t>, wherein, for the hydrated lighter ions being studied, i.e., Li+, Na+ and K+, the sums of Z+C+H were found to equal 23.</w:t>
      </w:r>
      <w:r>
        <w:rPr>
          <w:color w:val="000000"/>
          <w:sz w:val="22"/>
          <w:szCs w:val="22"/>
        </w:rPr>
        <w:t> </w:t>
      </w:r>
      <w:r>
        <w:rPr>
          <w:color w:val="000000"/>
          <w:sz w:val="22"/>
          <w:szCs w:val="22"/>
        </w:rPr>
        <w:br/>
      </w:r>
      <w:r>
        <w:rPr>
          <w:color w:val="000000"/>
          <w:sz w:val="22"/>
          <w:szCs w:val="22"/>
        </w:rPr>
        <w:br/>
      </w:r>
      <w:r>
        <w:rPr>
          <w:color w:val="000000"/>
          <w:sz w:val="22"/>
          <w:szCs w:val="22"/>
          <w:shd w:val="clear" w:color="auto" w:fill="FFFFFF"/>
        </w:rPr>
        <w:t>As shown in Table 2 and Figure 2, calculations for H+ and OH-, as well as the base ion, Rb+, also yield approximate linear results at H = 0. The suggestion that relatively large conductivities of H+ and OH- indicated they were not hydrated was first made by Abegg and Bodlander</w:t>
      </w:r>
      <w:r>
        <w:rPr>
          <w:color w:val="000000"/>
          <w:sz w:val="22"/>
          <w:szCs w:val="22"/>
          <w:shd w:val="clear" w:color="auto" w:fill="FFFFFF"/>
          <w:vertAlign w:val="superscript"/>
        </w:rPr>
        <w:t xml:space="preserve">4 </w:t>
      </w:r>
      <w:r>
        <w:rPr>
          <w:color w:val="000000"/>
          <w:sz w:val="22"/>
          <w:szCs w:val="22"/>
          <w:shd w:val="clear" w:color="auto" w:fill="FFFFFF"/>
        </w:rPr>
        <w:t>in 1899, first calculated by Flint</w:t>
      </w:r>
      <w:r>
        <w:rPr>
          <w:color w:val="000000"/>
          <w:sz w:val="22"/>
          <w:szCs w:val="22"/>
          <w:shd w:val="clear" w:color="auto" w:fill="FFFFFF"/>
          <w:vertAlign w:val="superscript"/>
        </w:rPr>
        <w:t>3</w:t>
      </w:r>
      <w:r>
        <w:rPr>
          <w:color w:val="000000"/>
          <w:sz w:val="22"/>
          <w:szCs w:val="22"/>
          <w:shd w:val="clear" w:color="auto" w:fill="FFFFFF"/>
        </w:rPr>
        <w:t>in 1932 and explained by Flint as evidencing dehydration due to the electrical stress imposed in measuring conductance</w:t>
      </w:r>
      <w:r>
        <w:rPr>
          <w:color w:val="000000"/>
          <w:sz w:val="22"/>
          <w:szCs w:val="22"/>
          <w:shd w:val="clear" w:color="auto" w:fill="FFFFFF"/>
          <w:vertAlign w:val="superscript"/>
        </w:rPr>
        <w:t>5</w:t>
      </w:r>
      <w:r>
        <w:rPr>
          <w:color w:val="000000"/>
          <w:sz w:val="22"/>
          <w:szCs w:val="22"/>
          <w:shd w:val="clear" w:color="auto" w:fill="FFFFFF"/>
        </w:rPr>
        <w:t>.</w:t>
      </w:r>
      <w:r>
        <w:rPr>
          <w:color w:val="000000"/>
          <w:sz w:val="22"/>
          <w:szCs w:val="22"/>
        </w:rPr>
        <w:t> </w:t>
      </w:r>
      <w:r>
        <w:rPr>
          <w:color w:val="000000"/>
          <w:sz w:val="22"/>
          <w:szCs w:val="22"/>
        </w:rPr>
        <w:br/>
      </w:r>
      <w:r>
        <w:rPr>
          <w:color w:val="000000"/>
          <w:sz w:val="22"/>
          <w:szCs w:val="22"/>
        </w:rPr>
        <w:br/>
      </w:r>
      <w:r>
        <w:rPr>
          <w:color w:val="000000"/>
          <w:sz w:val="22"/>
          <w:szCs w:val="22"/>
          <w:shd w:val="clear" w:color="auto" w:fill="FFFFFF"/>
        </w:rPr>
        <w:t>1. Noggle, J.H., Physical Chemistry, 1996, p. 411.</w:t>
      </w:r>
      <w:r>
        <w:rPr>
          <w:color w:val="000000"/>
          <w:sz w:val="22"/>
          <w:szCs w:val="22"/>
        </w:rPr>
        <w:t> </w:t>
      </w:r>
      <w:r>
        <w:rPr>
          <w:color w:val="000000"/>
          <w:sz w:val="22"/>
          <w:szCs w:val="22"/>
        </w:rPr>
        <w:br/>
      </w:r>
      <w:r>
        <w:rPr>
          <w:color w:val="000000"/>
          <w:sz w:val="22"/>
          <w:szCs w:val="22"/>
          <w:shd w:val="clear" w:color="auto" w:fill="FFFFFF"/>
        </w:rPr>
        <w:t>2. Gluekauf, E., Faraday Soc., Transactions 51 1241 (1955).</w:t>
      </w:r>
      <w:r>
        <w:rPr>
          <w:color w:val="000000"/>
          <w:sz w:val="22"/>
          <w:szCs w:val="22"/>
        </w:rPr>
        <w:t> </w:t>
      </w:r>
      <w:r>
        <w:rPr>
          <w:color w:val="000000"/>
          <w:sz w:val="22"/>
          <w:szCs w:val="22"/>
        </w:rPr>
        <w:br/>
      </w:r>
    </w:p>
    <w:p w:rsidR="008839EE" w:rsidRDefault="008839EE" w:rsidP="008839EE">
      <w:pPr>
        <w:rPr>
          <w:color w:val="000000"/>
          <w:sz w:val="22"/>
          <w:szCs w:val="22"/>
        </w:rPr>
      </w:pPr>
    </w:p>
    <w:p w:rsidR="008839EE" w:rsidRPr="00024914" w:rsidRDefault="008839EE" w:rsidP="008839EE">
      <w:pPr>
        <w:jc w:val="center"/>
        <w:rPr>
          <w:b/>
          <w:color w:val="000000"/>
          <w:sz w:val="22"/>
          <w:szCs w:val="22"/>
        </w:rPr>
      </w:pPr>
      <w:r w:rsidRPr="00024914">
        <w:rPr>
          <w:b/>
          <w:color w:val="000000"/>
          <w:sz w:val="22"/>
          <w:szCs w:val="22"/>
        </w:rPr>
        <w:lastRenderedPageBreak/>
        <w:t>5</w:t>
      </w:r>
    </w:p>
    <w:p w:rsidR="008839EE" w:rsidRDefault="008839EE" w:rsidP="008839EE">
      <w:pPr>
        <w:rPr>
          <w:color w:val="000000"/>
          <w:sz w:val="22"/>
          <w:szCs w:val="22"/>
        </w:rPr>
      </w:pPr>
    </w:p>
    <w:p w:rsidR="008839EE" w:rsidRDefault="008839EE" w:rsidP="008839EE">
      <w:pPr>
        <w:rPr>
          <w:color w:val="000000"/>
          <w:sz w:val="22"/>
          <w:szCs w:val="22"/>
        </w:rPr>
      </w:pPr>
      <w:r>
        <w:rPr>
          <w:color w:val="000000"/>
          <w:sz w:val="22"/>
          <w:szCs w:val="22"/>
          <w:shd w:val="clear" w:color="auto" w:fill="FFFFFF"/>
        </w:rPr>
        <w:t>3. Flint, L. H., J. Wash. Acad. of Sci. 22, 97-119, 211-217 &amp; 233-237 (1932).</w:t>
      </w:r>
      <w:r>
        <w:rPr>
          <w:color w:val="000000"/>
          <w:sz w:val="22"/>
          <w:szCs w:val="22"/>
        </w:rPr>
        <w:t> </w:t>
      </w:r>
    </w:p>
    <w:p w:rsidR="008839EE" w:rsidRDefault="008839EE" w:rsidP="008839EE">
      <w:pPr>
        <w:rPr>
          <w:color w:val="000000"/>
          <w:sz w:val="22"/>
          <w:szCs w:val="22"/>
        </w:rPr>
      </w:pPr>
      <w:r>
        <w:rPr>
          <w:color w:val="000000"/>
          <w:sz w:val="22"/>
          <w:szCs w:val="22"/>
          <w:shd w:val="clear" w:color="auto" w:fill="FFFFFF"/>
        </w:rPr>
        <w:t>4. Abegg and Bodlander, Zeit. f. Anorg. Chem. 454-499 (1899).</w:t>
      </w:r>
      <w:r>
        <w:rPr>
          <w:color w:val="000000"/>
          <w:sz w:val="22"/>
          <w:szCs w:val="22"/>
        </w:rPr>
        <w:t> </w:t>
      </w:r>
      <w:r>
        <w:rPr>
          <w:color w:val="000000"/>
          <w:sz w:val="22"/>
          <w:szCs w:val="22"/>
        </w:rPr>
        <w:br/>
      </w:r>
      <w:r>
        <w:rPr>
          <w:color w:val="000000"/>
          <w:sz w:val="22"/>
          <w:szCs w:val="22"/>
          <w:shd w:val="clear" w:color="auto" w:fill="FFFFFF"/>
        </w:rPr>
        <w:t xml:space="preserve">5. </w:t>
      </w:r>
      <w:smartTag w:uri="urn:schemas-microsoft-com:office:smarttags" w:element="City">
        <w:smartTag w:uri="urn:schemas-microsoft-com:office:smarttags" w:element="place">
          <w:r>
            <w:rPr>
              <w:color w:val="000000"/>
              <w:sz w:val="22"/>
              <w:szCs w:val="22"/>
              <w:shd w:val="clear" w:color="auto" w:fill="FFFFFF"/>
            </w:rPr>
            <w:t>Flint</w:t>
          </w:r>
        </w:smartTag>
      </w:smartTag>
      <w:r>
        <w:rPr>
          <w:color w:val="000000"/>
          <w:sz w:val="22"/>
          <w:szCs w:val="22"/>
          <w:shd w:val="clear" w:color="auto" w:fill="FFFFFF"/>
        </w:rPr>
        <w:t xml:space="preserve">, L.H., Dissenting Ape, </w:t>
      </w:r>
      <w:smartTag w:uri="urn:schemas-microsoft-com:office:smarttags" w:element="address">
        <w:smartTag w:uri="urn:schemas-microsoft-com:office:smarttags" w:element="Street">
          <w:r>
            <w:rPr>
              <w:color w:val="000000"/>
              <w:sz w:val="22"/>
              <w:szCs w:val="22"/>
              <w:shd w:val="clear" w:color="auto" w:fill="FFFFFF"/>
            </w:rPr>
            <w:t>Dahlia Street</w:t>
          </w:r>
        </w:smartTag>
        <w:r>
          <w:rPr>
            <w:color w:val="000000"/>
            <w:sz w:val="22"/>
            <w:szCs w:val="22"/>
            <w:shd w:val="clear" w:color="auto" w:fill="FFFFFF"/>
          </w:rPr>
          <w:t xml:space="preserve">, </w:t>
        </w:r>
        <w:smartTag w:uri="urn:schemas-microsoft-com:office:smarttags" w:element="City">
          <w:r>
            <w:rPr>
              <w:color w:val="000000"/>
              <w:sz w:val="22"/>
              <w:szCs w:val="22"/>
              <w:shd w:val="clear" w:color="auto" w:fill="FFFFFF"/>
            </w:rPr>
            <w:t>New York</w:t>
          </w:r>
        </w:smartTag>
      </w:smartTag>
      <w:r>
        <w:rPr>
          <w:color w:val="000000"/>
          <w:sz w:val="22"/>
          <w:szCs w:val="22"/>
          <w:shd w:val="clear" w:color="auto" w:fill="FFFFFF"/>
        </w:rPr>
        <w:t>, 1973.2</w:t>
      </w:r>
      <w:r>
        <w:rPr>
          <w:color w:val="000000"/>
          <w:sz w:val="22"/>
          <w:szCs w:val="22"/>
        </w:rPr>
        <w:t> </w:t>
      </w:r>
    </w:p>
    <w:p w:rsidR="008839EE" w:rsidRDefault="008839EE" w:rsidP="008839EE">
      <w:r>
        <w:rPr>
          <w:sz w:val="22"/>
          <w:szCs w:val="22"/>
        </w:rPr>
        <w:pict>
          <v:rect id="_x0000_s1087" style="position:absolute;margin-left:0;margin-top:0;width:3276.75pt;height:.1pt;z-index:251654656;mso-wrap-style:none;mso-position-horizontal-relative:char;mso-position-vertical-relative:line;v-text-anchor:middle" fillcolor="black" stroked="f">
            <v:stroke joinstyle="round"/>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w:pict>
      </w:r>
    </w:p>
    <w:p w:rsidR="008839EE" w:rsidRDefault="008839EE" w:rsidP="008839EE">
      <w:pPr>
        <w:rPr>
          <w:color w:val="000000"/>
          <w:sz w:val="22"/>
          <w:szCs w:val="22"/>
        </w:rPr>
      </w:pPr>
      <w:r>
        <w:rPr>
          <w:color w:val="000000"/>
          <w:sz w:val="22"/>
          <w:szCs w:val="22"/>
          <w:shd w:val="clear" w:color="auto" w:fill="FFFFFF"/>
        </w:rPr>
        <w:t>Table 2 / Figure 2: Inverse square of limiting ionic conductance (l) adjusted to base weight of 85.47 for Rb+; minus respective atomic weights (A.W.), equals weight of water of hydration, divided by 18 equals calculated hydration number (Hcalc).</w:t>
      </w:r>
      <w:r>
        <w:rPr>
          <w:color w:val="000000"/>
          <w:sz w:val="22"/>
          <w:szCs w:val="22"/>
        </w:rPr>
        <w:t> </w:t>
      </w:r>
    </w:p>
    <w:p w:rsidR="008839EE" w:rsidRDefault="008839EE" w:rsidP="008839EE">
      <w:pPr>
        <w:rPr>
          <w:color w:val="000000"/>
          <w:sz w:val="22"/>
          <w:szCs w:val="22"/>
        </w:rPr>
      </w:pPr>
    </w:p>
    <w:tbl>
      <w:tblPr>
        <w:tblW w:w="6408" w:type="dxa"/>
        <w:tblLook w:val="0000"/>
      </w:tblPr>
      <w:tblGrid>
        <w:gridCol w:w="750"/>
        <w:gridCol w:w="394"/>
        <w:gridCol w:w="332"/>
        <w:gridCol w:w="795"/>
        <w:gridCol w:w="617"/>
        <w:gridCol w:w="884"/>
        <w:gridCol w:w="706"/>
        <w:gridCol w:w="706"/>
        <w:gridCol w:w="988"/>
        <w:gridCol w:w="261"/>
      </w:tblGrid>
      <w:tr w:rsidR="008839EE" w:rsidRPr="002026A5">
        <w:trPr>
          <w:gridAfter w:val="1"/>
          <w:wAfter w:w="236" w:type="dxa"/>
          <w:trHeight w:val="252"/>
        </w:trPr>
        <w:tc>
          <w:tcPr>
            <w:tcW w:w="6172" w:type="dxa"/>
            <w:gridSpan w:val="9"/>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u w:val="single"/>
              </w:rPr>
            </w:pPr>
            <w:r>
              <w:rPr>
                <w:rFonts w:ascii="Arial" w:hAnsi="Arial" w:cs="Arial"/>
                <w:sz w:val="16"/>
                <w:szCs w:val="16"/>
                <w:u w:val="single"/>
              </w:rPr>
              <w:t xml:space="preserve">Calculated </w:t>
            </w:r>
            <w:r w:rsidRPr="002026A5">
              <w:rPr>
                <w:rFonts w:ascii="Arial" w:hAnsi="Arial" w:cs="Arial"/>
                <w:sz w:val="16"/>
                <w:szCs w:val="16"/>
                <w:u w:val="single"/>
              </w:rPr>
              <w:t xml:space="preserve">hydration number (Hcalc) from conductance (EC) &amp; atomic weight (AW)                                                </w:t>
            </w:r>
          </w:p>
        </w:tc>
      </w:tr>
      <w:tr w:rsidR="008839EE" w:rsidRPr="002026A5">
        <w:trPr>
          <w:gridAfter w:val="1"/>
          <w:wAfter w:w="236" w:type="dxa"/>
          <w:trHeight w:val="252"/>
        </w:trPr>
        <w:tc>
          <w:tcPr>
            <w:tcW w:w="6172" w:type="dxa"/>
            <w:gridSpan w:val="9"/>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Hcalc=</w:t>
            </w:r>
            <w:r>
              <w:rPr>
                <w:rFonts w:ascii="Arial" w:hAnsi="Arial" w:cs="Arial"/>
                <w:sz w:val="16"/>
                <w:szCs w:val="16"/>
              </w:rPr>
              <w:t xml:space="preserve"> </w:t>
            </w:r>
            <w:r w:rsidRPr="002026A5">
              <w:rPr>
                <w:rFonts w:ascii="Arial" w:hAnsi="Arial" w:cs="Arial"/>
                <w:sz w:val="16"/>
                <w:szCs w:val="16"/>
              </w:rPr>
              <w:t xml:space="preserve">((k/EC-square)-AW)/18; k=517323 when base is Rb+ with Hcalc=0. </w:t>
            </w:r>
          </w:p>
        </w:tc>
      </w:tr>
      <w:tr w:rsidR="008839EE" w:rsidRPr="002026A5">
        <w:trPr>
          <w:trHeight w:val="252"/>
        </w:trPr>
        <w:tc>
          <w:tcPr>
            <w:tcW w:w="2271" w:type="dxa"/>
            <w:gridSpan w:val="4"/>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Copyr.1999 SHShakman</w:t>
            </w:r>
          </w:p>
        </w:tc>
        <w:tc>
          <w:tcPr>
            <w:tcW w:w="617"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884"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706"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706"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988"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236"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ION</w:t>
            </w:r>
          </w:p>
        </w:tc>
        <w:tc>
          <w:tcPr>
            <w:tcW w:w="394"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Z</w:t>
            </w:r>
          </w:p>
        </w:tc>
        <w:tc>
          <w:tcPr>
            <w:tcW w:w="332"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C</w:t>
            </w:r>
          </w:p>
        </w:tc>
        <w:tc>
          <w:tcPr>
            <w:tcW w:w="795"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AW</w:t>
            </w:r>
          </w:p>
        </w:tc>
        <w:tc>
          <w:tcPr>
            <w:tcW w:w="617"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EC</w:t>
            </w:r>
          </w:p>
        </w:tc>
        <w:tc>
          <w:tcPr>
            <w:tcW w:w="884"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IW calc</w:t>
            </w:r>
          </w:p>
        </w:tc>
        <w:tc>
          <w:tcPr>
            <w:tcW w:w="706"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WW</w:t>
            </w:r>
          </w:p>
        </w:tc>
        <w:tc>
          <w:tcPr>
            <w:tcW w:w="706"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H calc</w:t>
            </w:r>
          </w:p>
        </w:tc>
        <w:tc>
          <w:tcPr>
            <w:tcW w:w="988"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Pr>
                <w:noProof/>
              </w:rPr>
              <w:pict>
                <v:shapetype id="_x0000_t201" coordsize="21600,21600" o:spt="201" path="m,l,21600r21600,l21600,xe">
                  <v:stroke joinstyle="miter"/>
                  <v:path shadowok="f" o:extrusionok="f" strokeok="f" fillok="f" o:connecttype="rect"/>
                  <o:lock v:ext="edit" shapetype="t"/>
                </v:shapetype>
                <v:shape id="_x0000_s1092" type="#_x0000_t201" style="position:absolute;margin-left:-3.55pt;margin-top:.4pt;width:80.95pt;height:138.25pt;z-index:251659776;mso-position-horizontal-relative:text;mso-position-vertical-relative:text" fillcolor="window" strokecolor="windowText" o:insetmode="auto">
                  <v:fill color2="windowText"/>
                  <v:imagedata r:id="rId7" o:title="clip_image001"/>
                  <o:lock v:ext="edit" rotation="t"/>
                </v:shape>
              </w:pict>
            </w:r>
          </w:p>
        </w:tc>
        <w:tc>
          <w:tcPr>
            <w:tcW w:w="236"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Rb  (BASE)</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37</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85.4678</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77.8</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85.46781</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1E-05</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0</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 </w:t>
            </w: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394"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332"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617"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884"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706"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p>
        </w:tc>
        <w:tc>
          <w:tcPr>
            <w:tcW w:w="706" w:type="dxa"/>
            <w:tcBorders>
              <w:top w:val="nil"/>
              <w:left w:val="nil"/>
              <w:bottom w:val="nil"/>
              <w:right w:val="nil"/>
            </w:tcBorders>
            <w:shd w:val="clear" w:color="auto" w:fill="C0C0C0"/>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 </w:t>
            </w:r>
          </w:p>
        </w:tc>
        <w:tc>
          <w:tcPr>
            <w:tcW w:w="988" w:type="dxa"/>
            <w:tcBorders>
              <w:top w:val="nil"/>
              <w:left w:val="nil"/>
              <w:bottom w:val="nil"/>
              <w:right w:val="nil"/>
            </w:tcBorders>
            <w:shd w:val="clear" w:color="auto" w:fill="C0C0C0"/>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 </w:t>
            </w:r>
          </w:p>
        </w:tc>
        <w:tc>
          <w:tcPr>
            <w:tcW w:w="236" w:type="dxa"/>
            <w:tcBorders>
              <w:top w:val="nil"/>
              <w:left w:val="nil"/>
              <w:bottom w:val="nil"/>
              <w:right w:val="nil"/>
            </w:tcBorders>
            <w:shd w:val="clear" w:color="auto" w:fill="CCFFFF"/>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 </w:t>
            </w: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H</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1.0078</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349.8</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4.227875</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3.2201</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0.1789</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OH</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9</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17.0073</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197.6</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13.24915</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-3.758</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-0.209</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Li</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6.941</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38.66</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346.1291</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339.19</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18.844</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jc w:val="right"/>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Na</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11</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22.9898</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50.08</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206.2686</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183.28</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1.182</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jc w:val="right"/>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Mg</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12</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2</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24.305</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53.06</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183.75</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159.44</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8.8581</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jc w:val="right"/>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Al</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13</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26.9815</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63</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130.3409</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103.36</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5.7422</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jc w:val="right"/>
              <w:rPr>
                <w:rFonts w:ascii="Arial" w:hAnsi="Arial" w:cs="Arial"/>
                <w:sz w:val="16"/>
                <w:szCs w:val="16"/>
              </w:rPr>
            </w:pPr>
          </w:p>
        </w:tc>
      </w:tr>
      <w:tr w:rsidR="008839EE" w:rsidRPr="002026A5">
        <w:trPr>
          <w:trHeight w:val="252"/>
        </w:trPr>
        <w:tc>
          <w:tcPr>
            <w:tcW w:w="750" w:type="dxa"/>
            <w:tcBorders>
              <w:top w:val="nil"/>
              <w:left w:val="nil"/>
              <w:bottom w:val="nil"/>
              <w:right w:val="nil"/>
            </w:tcBorders>
            <w:shd w:val="clear" w:color="auto" w:fill="auto"/>
            <w:noWrap/>
            <w:vAlign w:val="bottom"/>
          </w:tcPr>
          <w:p w:rsidR="008839EE" w:rsidRPr="002026A5" w:rsidRDefault="008839EE" w:rsidP="008839EE">
            <w:pPr>
              <w:rPr>
                <w:rFonts w:ascii="Arial" w:hAnsi="Arial" w:cs="Arial"/>
                <w:sz w:val="16"/>
                <w:szCs w:val="16"/>
              </w:rPr>
            </w:pPr>
            <w:r w:rsidRPr="002026A5">
              <w:rPr>
                <w:rFonts w:ascii="Arial" w:hAnsi="Arial" w:cs="Arial"/>
                <w:sz w:val="16"/>
                <w:szCs w:val="16"/>
              </w:rPr>
              <w:t>K</w:t>
            </w:r>
          </w:p>
        </w:tc>
        <w:tc>
          <w:tcPr>
            <w:tcW w:w="39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19</w:t>
            </w:r>
          </w:p>
        </w:tc>
        <w:tc>
          <w:tcPr>
            <w:tcW w:w="332"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1</w:t>
            </w:r>
          </w:p>
        </w:tc>
        <w:tc>
          <w:tcPr>
            <w:tcW w:w="795"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39.0983</w:t>
            </w:r>
          </w:p>
        </w:tc>
        <w:tc>
          <w:tcPr>
            <w:tcW w:w="617"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73.48</w:t>
            </w:r>
          </w:p>
        </w:tc>
        <w:tc>
          <w:tcPr>
            <w:tcW w:w="884"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95.81279</w:t>
            </w:r>
          </w:p>
        </w:tc>
        <w:tc>
          <w:tcPr>
            <w:tcW w:w="706" w:type="dxa"/>
            <w:tcBorders>
              <w:top w:val="nil"/>
              <w:left w:val="nil"/>
              <w:bottom w:val="nil"/>
              <w:right w:val="nil"/>
            </w:tcBorders>
            <w:shd w:val="clear" w:color="auto" w:fill="auto"/>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56.714</w:t>
            </w:r>
          </w:p>
        </w:tc>
        <w:tc>
          <w:tcPr>
            <w:tcW w:w="706"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r w:rsidRPr="002026A5">
              <w:rPr>
                <w:rFonts w:ascii="Arial" w:hAnsi="Arial" w:cs="Arial"/>
                <w:sz w:val="16"/>
                <w:szCs w:val="16"/>
              </w:rPr>
              <w:t>3.1508</w:t>
            </w:r>
          </w:p>
        </w:tc>
        <w:tc>
          <w:tcPr>
            <w:tcW w:w="988" w:type="dxa"/>
            <w:tcBorders>
              <w:top w:val="nil"/>
              <w:left w:val="nil"/>
              <w:bottom w:val="nil"/>
              <w:right w:val="nil"/>
            </w:tcBorders>
            <w:shd w:val="clear" w:color="auto" w:fill="C0C0C0"/>
            <w:noWrap/>
            <w:vAlign w:val="bottom"/>
          </w:tcPr>
          <w:p w:rsidR="008839EE" w:rsidRPr="002026A5" w:rsidRDefault="008839EE" w:rsidP="008839EE">
            <w:pPr>
              <w:jc w:val="right"/>
              <w:rPr>
                <w:rFonts w:ascii="Arial" w:hAnsi="Arial" w:cs="Arial"/>
                <w:sz w:val="16"/>
                <w:szCs w:val="16"/>
              </w:rPr>
            </w:pPr>
          </w:p>
        </w:tc>
        <w:tc>
          <w:tcPr>
            <w:tcW w:w="236" w:type="dxa"/>
            <w:tcBorders>
              <w:top w:val="nil"/>
              <w:left w:val="nil"/>
              <w:bottom w:val="nil"/>
              <w:right w:val="nil"/>
            </w:tcBorders>
            <w:shd w:val="clear" w:color="auto" w:fill="CCFFFF"/>
            <w:noWrap/>
            <w:vAlign w:val="bottom"/>
          </w:tcPr>
          <w:p w:rsidR="008839EE" w:rsidRPr="002026A5" w:rsidRDefault="008839EE" w:rsidP="008839EE">
            <w:pPr>
              <w:jc w:val="right"/>
              <w:rPr>
                <w:rFonts w:ascii="Arial" w:hAnsi="Arial" w:cs="Arial"/>
                <w:sz w:val="16"/>
                <w:szCs w:val="16"/>
              </w:rPr>
            </w:pPr>
          </w:p>
        </w:tc>
      </w:tr>
    </w:tbl>
    <w:p w:rsidR="008839EE" w:rsidRDefault="008839EE" w:rsidP="008839EE"/>
    <w:p w:rsidR="008839EE" w:rsidRDefault="008839EE" w:rsidP="008839EE">
      <w:pPr>
        <w:jc w:val="center"/>
        <w:rPr>
          <w:color w:val="000000"/>
          <w:sz w:val="22"/>
          <w:szCs w:val="22"/>
        </w:rPr>
      </w:pPr>
    </w:p>
    <w:p w:rsidR="008839EE" w:rsidRDefault="008839EE" w:rsidP="008839EE">
      <w:pPr>
        <w:rPr>
          <w:color w:val="000000"/>
          <w:sz w:val="22"/>
          <w:szCs w:val="22"/>
        </w:rPr>
      </w:pPr>
      <w:r>
        <w:rPr>
          <w:color w:val="000000"/>
          <w:sz w:val="22"/>
          <w:szCs w:val="22"/>
        </w:rPr>
        <w:t>Table 3/ Figure3: The middle (Rb+) column of Table 3 duplicates the values for Hcalc in Table 2 for a larger range of ions. The other columns of Table 3 use H+ and La+ as base ions (respectively assumed to be anhydrous, as shown) for comparison:</w:t>
      </w:r>
    </w:p>
    <w:tbl>
      <w:tblPr>
        <w:tblW w:w="3234" w:type="dxa"/>
        <w:tblInd w:w="108" w:type="dxa"/>
        <w:tblLook w:val="0000"/>
      </w:tblPr>
      <w:tblGrid>
        <w:gridCol w:w="922"/>
        <w:gridCol w:w="825"/>
        <w:gridCol w:w="743"/>
        <w:gridCol w:w="744"/>
      </w:tblGrid>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12" w:type="dxa"/>
            <w:gridSpan w:val="3"/>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Input-</w:t>
            </w:r>
            <w:r>
              <w:rPr>
                <w:rFonts w:ascii="Arial" w:hAnsi="Arial" w:cs="Arial"/>
                <w:sz w:val="20"/>
                <w:szCs w:val="20"/>
                <w:u w:val="single"/>
              </w:rPr>
              <w:t>AW</w:t>
            </w:r>
            <w:r>
              <w:rPr>
                <w:rFonts w:ascii="Arial" w:hAnsi="Arial" w:cs="Arial"/>
                <w:sz w:val="20"/>
                <w:szCs w:val="20"/>
              </w:rPr>
              <w:t xml:space="preserve"> (Atomic Wt)</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BASE= </w:t>
            </w:r>
          </w:p>
        </w:tc>
        <w:tc>
          <w:tcPr>
            <w:tcW w:w="825"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   H+</w:t>
            </w:r>
          </w:p>
        </w:tc>
        <w:tc>
          <w:tcPr>
            <w:tcW w:w="743"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  Rb+ </w:t>
            </w:r>
          </w:p>
        </w:tc>
        <w:tc>
          <w:tcPr>
            <w:tcW w:w="744"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sz w:val="20"/>
                <w:szCs w:val="20"/>
              </w:rPr>
              <w:pict>
                <v:shape id="_x0000_s1088" type="#_x0000_t201" style="position:absolute;margin-left:63.8pt;margin-top:0;width:111.75pt;height:135pt;z-index:251655680;mso-position-horizontal-relative:text;mso-position-vertical-relative:text" fillcolor="window" strokecolor="windowText" o:insetmode="auto">
                  <v:imagedata r:id="rId8" o:title="clip_image001"/>
                  <o:lock v:ext="edit" rotation="t"/>
                </v:shape>
              </w:pict>
            </w:r>
            <w:r>
              <w:rPr>
                <w:rFonts w:ascii="Arial" w:hAnsi="Arial" w:cs="Arial"/>
                <w:b/>
                <w:bCs/>
                <w:sz w:val="20"/>
                <w:szCs w:val="20"/>
              </w:rPr>
              <w:t>La+3</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825"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74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744"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OH-</w:t>
                </w:r>
              </w:smartTag>
            </w:smartTag>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-0.77</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-0.21</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0.01</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0.17</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0.25</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Li+</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4.19</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18.84</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24.7</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Be++</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2.88</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13.69</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18.01</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Na+</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1.45</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10.18</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13.67</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Mg++</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1.08</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8.86</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11.97</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Al+3</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0.23</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5.74</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7.95</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K+</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-0.9</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3.15</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4.77</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Rb+</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-3.62</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1.45</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Cs+</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-6.24</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-2.57</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-1.11</w:t>
            </w:r>
          </w:p>
        </w:tc>
      </w:tr>
      <w:tr w:rsidR="008839EE">
        <w:trPr>
          <w:trHeight w:val="167"/>
        </w:trPr>
        <w:tc>
          <w:tcPr>
            <w:tcW w:w="92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La+3</w:t>
            </w:r>
          </w:p>
        </w:tc>
        <w:tc>
          <w:tcPr>
            <w:tcW w:w="825"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-6.31</w:t>
            </w:r>
          </w:p>
        </w:tc>
        <w:tc>
          <w:tcPr>
            <w:tcW w:w="743"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-1.8</w:t>
            </w:r>
          </w:p>
        </w:tc>
        <w:tc>
          <w:tcPr>
            <w:tcW w:w="74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r>
    </w:tbl>
    <w:p w:rsidR="008839EE" w:rsidRPr="00024914" w:rsidRDefault="008839EE" w:rsidP="008839EE">
      <w:pPr>
        <w:jc w:val="center"/>
        <w:rPr>
          <w:b/>
          <w:color w:val="000000"/>
          <w:sz w:val="22"/>
          <w:szCs w:val="22"/>
        </w:rPr>
      </w:pPr>
      <w:r w:rsidRPr="00024914">
        <w:rPr>
          <w:b/>
          <w:color w:val="000000"/>
          <w:sz w:val="22"/>
          <w:szCs w:val="22"/>
        </w:rPr>
        <w:lastRenderedPageBreak/>
        <w:t>6</w:t>
      </w:r>
    </w:p>
    <w:p w:rsidR="008839EE" w:rsidRDefault="008839EE" w:rsidP="008839EE">
      <w:pPr>
        <w:rPr>
          <w:color w:val="000000"/>
          <w:sz w:val="22"/>
          <w:szCs w:val="22"/>
        </w:rPr>
      </w:pPr>
    </w:p>
    <w:p w:rsidR="008839EE" w:rsidRDefault="008839EE" w:rsidP="008839EE">
      <w:pPr>
        <w:rPr>
          <w:color w:val="000000"/>
          <w:sz w:val="22"/>
          <w:szCs w:val="22"/>
        </w:rPr>
      </w:pPr>
      <w:r>
        <w:rPr>
          <w:color w:val="000000"/>
          <w:sz w:val="22"/>
          <w:szCs w:val="22"/>
        </w:rPr>
        <w:t>Table 4/ Figure 4: duplicates Table 3 / Figure 3, except for the substitution of  Atomic Number (Z) in the place of Atomic Weight (AW):</w:t>
      </w:r>
    </w:p>
    <w:tbl>
      <w:tblPr>
        <w:tblW w:w="5556" w:type="dxa"/>
        <w:tblInd w:w="108" w:type="dxa"/>
        <w:tblLook w:val="0000"/>
      </w:tblPr>
      <w:tblGrid>
        <w:gridCol w:w="772"/>
        <w:gridCol w:w="428"/>
        <w:gridCol w:w="236"/>
        <w:gridCol w:w="916"/>
        <w:gridCol w:w="717"/>
        <w:gridCol w:w="891"/>
        <w:gridCol w:w="1360"/>
        <w:gridCol w:w="236"/>
      </w:tblGrid>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297" w:type="dxa"/>
            <w:gridSpan w:val="4"/>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 xml:space="preserve">            Input-</w:t>
            </w:r>
            <w:r>
              <w:rPr>
                <w:rFonts w:ascii="Arial" w:hAnsi="Arial" w:cs="Arial"/>
                <w:sz w:val="20"/>
                <w:szCs w:val="20"/>
                <w:u w:val="single"/>
              </w:rPr>
              <w:t>Z</w:t>
            </w:r>
            <w:r>
              <w:rPr>
                <w:rFonts w:ascii="Arial" w:hAnsi="Arial" w:cs="Arial"/>
                <w:sz w:val="20"/>
                <w:szCs w:val="20"/>
              </w:rPr>
              <w:t xml:space="preserve"> (Atomic </w:t>
            </w:r>
          </w:p>
        </w:tc>
        <w:tc>
          <w:tcPr>
            <w:tcW w:w="2487" w:type="dxa"/>
            <w:gridSpan w:val="3"/>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No.)</w:t>
            </w: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BASE = </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  </w:t>
            </w: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 H+</w:t>
            </w:r>
          </w:p>
        </w:tc>
        <w:tc>
          <w:tcPr>
            <w:tcW w:w="717"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 Rb+ </w:t>
            </w:r>
          </w:p>
        </w:tc>
        <w:tc>
          <w:tcPr>
            <w:tcW w:w="891"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La+3</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717"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891"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1360" w:type="dxa"/>
            <w:shd w:val="clear" w:color="auto" w:fill="auto"/>
            <w:vAlign w:val="center"/>
          </w:tcPr>
          <w:p w:rsidR="008839EE" w:rsidRDefault="008839EE" w:rsidP="008839EE">
            <w:pPr>
              <w:rPr>
                <w:sz w:val="20"/>
                <w:szCs w:val="20"/>
              </w:rPr>
            </w:pPr>
            <w:r>
              <w:rPr>
                <w:rFonts w:ascii="Arial" w:hAnsi="Arial" w:cs="Arial"/>
                <w:sz w:val="20"/>
                <w:szCs w:val="20"/>
              </w:rPr>
              <w:pict>
                <v:shape id="_x0000_s1091" type="#_x0000_t201" style="position:absolute;margin-left:0;margin-top:10.4pt;width:104.25pt;height:133.5pt;z-index:251658752;mso-position-horizontal-relative:text;mso-position-vertical-relative:text" fillcolor="window" strokecolor="windowText" o:insetmode="auto">
                  <v:imagedata r:id="rId9" o:title="clip_image002"/>
                  <o:lock v:ext="edit" rotation="t"/>
                </v:shape>
              </w:pict>
            </w: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OH-</w:t>
                </w:r>
              </w:smartTag>
            </w:smartTag>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-0.59</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-0.32</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-0.19</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0.08</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0.13</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Li+</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7.87</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14.68</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18.23</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Be++</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5.63</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10.69</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14.74</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Na+</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3.77</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7.83</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9.94</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Mg++</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3.14</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6.75</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9.59</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Al+3</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1.78</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4.34</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6.31</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K+</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0.36</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2.25</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3.23</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Rb+</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-1.68</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0.87</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Cs+</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-3.45</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-1.75</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-0.87</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La+3</w:t>
            </w:r>
          </w:p>
        </w:tc>
        <w:tc>
          <w:tcPr>
            <w:tcW w:w="42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-3.18</w:t>
            </w:r>
          </w:p>
        </w:tc>
        <w:tc>
          <w:tcPr>
            <w:tcW w:w="717"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-1.09</w:t>
            </w:r>
          </w:p>
        </w:tc>
        <w:tc>
          <w:tcPr>
            <w:tcW w:w="891"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1360"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bl>
    <w:p w:rsidR="008839EE" w:rsidRDefault="008839EE" w:rsidP="008839EE">
      <w:pPr>
        <w:jc w:val="center"/>
        <w:rPr>
          <w:color w:val="000000"/>
          <w:sz w:val="22"/>
          <w:szCs w:val="22"/>
        </w:rPr>
      </w:pPr>
    </w:p>
    <w:p w:rsidR="008839EE" w:rsidRDefault="008839EE" w:rsidP="008839EE">
      <w:pPr>
        <w:rPr>
          <w:color w:val="000000"/>
          <w:sz w:val="22"/>
          <w:szCs w:val="22"/>
        </w:rPr>
      </w:pPr>
      <w:r>
        <w:rPr>
          <w:color w:val="000000"/>
          <w:sz w:val="22"/>
          <w:szCs w:val="22"/>
        </w:rPr>
        <w:t xml:space="preserve">Table 5/ Figure 5: duplicates Table 4 / Figure 4, except for the substitution of  Atomic Number plus </w:t>
      </w:r>
      <w:smartTag w:uri="urn:schemas-microsoft-com:office:smarttags" w:element="City">
        <w:smartTag w:uri="urn:schemas-microsoft-com:office:smarttags" w:element="place">
          <w:r>
            <w:rPr>
              <w:color w:val="000000"/>
              <w:sz w:val="22"/>
              <w:szCs w:val="22"/>
            </w:rPr>
            <w:t>Valence</w:t>
          </w:r>
        </w:smartTag>
      </w:smartTag>
      <w:r>
        <w:rPr>
          <w:color w:val="000000"/>
          <w:sz w:val="22"/>
          <w:szCs w:val="22"/>
        </w:rPr>
        <w:t xml:space="preserve"> (Z+C) in the place of Atomic Number (Z):</w:t>
      </w:r>
    </w:p>
    <w:tbl>
      <w:tblPr>
        <w:tblW w:w="5981" w:type="dxa"/>
        <w:tblInd w:w="108" w:type="dxa"/>
        <w:tblLook w:val="0000"/>
      </w:tblPr>
      <w:tblGrid>
        <w:gridCol w:w="772"/>
        <w:gridCol w:w="308"/>
        <w:gridCol w:w="236"/>
        <w:gridCol w:w="356"/>
        <w:gridCol w:w="916"/>
        <w:gridCol w:w="994"/>
        <w:gridCol w:w="1278"/>
        <w:gridCol w:w="885"/>
        <w:gridCol w:w="236"/>
      </w:tblGrid>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1816" w:type="dxa"/>
            <w:gridSpan w:val="4"/>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 xml:space="preserve">   Input-Z (Atomic  </w:t>
            </w:r>
          </w:p>
        </w:tc>
        <w:tc>
          <w:tcPr>
            <w:tcW w:w="994"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Number)</w:t>
            </w:r>
          </w:p>
        </w:tc>
        <w:tc>
          <w:tcPr>
            <w:tcW w:w="2399" w:type="dxa"/>
            <w:gridSpan w:val="3"/>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u w:val="single"/>
              </w:rPr>
              <w:t>+C</w:t>
            </w:r>
            <w:r>
              <w:rPr>
                <w:rFonts w:ascii="Arial" w:hAnsi="Arial" w:cs="Arial"/>
                <w:sz w:val="20"/>
                <w:szCs w:val="20"/>
              </w:rPr>
              <w:t>(</w:t>
            </w:r>
            <w:smartTag w:uri="urn:schemas-microsoft-com:office:smarttags" w:element="City">
              <w:smartTag w:uri="urn:schemas-microsoft-com:office:smarttags" w:element="place">
                <w:r>
                  <w:rPr>
                    <w:rFonts w:ascii="Arial" w:hAnsi="Arial" w:cs="Arial"/>
                    <w:sz w:val="20"/>
                    <w:szCs w:val="20"/>
                  </w:rPr>
                  <w:t>Valence</w:t>
                </w:r>
              </w:smartTag>
            </w:smartTag>
            <w:r>
              <w:rPr>
                <w:rFonts w:ascii="Arial" w:hAnsi="Arial" w:cs="Arial"/>
                <w:sz w:val="20"/>
                <w:szCs w:val="20"/>
              </w:rPr>
              <w:t>)</w:t>
            </w: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BASE = </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   </w:t>
            </w: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H+</w:t>
            </w:r>
          </w:p>
        </w:tc>
        <w:tc>
          <w:tcPr>
            <w:tcW w:w="994"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Rb+ </w:t>
            </w:r>
          </w:p>
        </w:tc>
        <w:tc>
          <w:tcPr>
            <w:tcW w:w="1278"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r>
              <w:rPr>
                <w:rFonts w:ascii="Arial" w:hAnsi="Arial" w:cs="Arial"/>
                <w:b/>
                <w:bCs/>
                <w:sz w:val="20"/>
                <w:szCs w:val="20"/>
              </w:rPr>
              <w:t xml:space="preserve"> La+3</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94"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127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885" w:type="dxa"/>
            <w:shd w:val="clear" w:color="auto" w:fill="auto"/>
            <w:vAlign w:val="center"/>
          </w:tcPr>
          <w:p w:rsidR="008839EE" w:rsidRDefault="008839EE" w:rsidP="008839EE">
            <w:pPr>
              <w:rPr>
                <w:sz w:val="20"/>
                <w:szCs w:val="20"/>
              </w:rPr>
            </w:pPr>
            <w:r>
              <w:rPr>
                <w:rFonts w:ascii="Arial" w:hAnsi="Arial" w:cs="Arial"/>
                <w:sz w:val="20"/>
                <w:szCs w:val="20"/>
              </w:rPr>
              <w:pict>
                <v:shape id="_x0000_s1089" type="#_x0000_t201" style="position:absolute;margin-left:-5.4pt;margin-top:5.6pt;width:102pt;height:133.5pt;z-index:251656704;mso-position-horizontal-relative:text;mso-position-vertical-relative:text" fillcolor="window" strokecolor="windowText" o:insetmode="auto">
                  <v:imagedata r:id="rId10" o:title="clip_image002"/>
                  <o:lock v:ext="edit" rotation="t"/>
                </v:shape>
              </w:pict>
            </w: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OH-</w:t>
                </w:r>
              </w:smartTag>
            </w:smartTag>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-0.19</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-0.23</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-0.21</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-0.01</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0.04</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Li+</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17.73</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16.65</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21.22</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Be++</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12.75</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11.95</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15.33</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Na+</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9.5</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8.86</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11.58</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Mg++</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8.09</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7.52</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9.95</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Al+3</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5.07</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4.66</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6.38</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K+</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2.81</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2.51</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3.78</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Rb+</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0.27</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1.13</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Cs+</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-1.67</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-1.95</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-0.8</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255"/>
        </w:trPr>
        <w:tc>
          <w:tcPr>
            <w:tcW w:w="772"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La+3</w:t>
            </w:r>
          </w:p>
        </w:tc>
        <w:tc>
          <w:tcPr>
            <w:tcW w:w="30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8839EE" w:rsidRDefault="008839EE" w:rsidP="008839EE">
            <w:pPr>
              <w:rPr>
                <w:rFonts w:ascii="Arial" w:hAnsi="Arial" w:cs="Arial"/>
                <w:b/>
                <w:bCs/>
                <w:sz w:val="20"/>
                <w:szCs w:val="20"/>
              </w:rPr>
            </w:pPr>
          </w:p>
        </w:tc>
        <w:tc>
          <w:tcPr>
            <w:tcW w:w="35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-1.07</w:t>
            </w:r>
          </w:p>
        </w:tc>
        <w:tc>
          <w:tcPr>
            <w:tcW w:w="994"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-1.41</w:t>
            </w:r>
          </w:p>
        </w:tc>
        <w:tc>
          <w:tcPr>
            <w:tcW w:w="127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b/>
                <w:bCs/>
                <w:sz w:val="20"/>
                <w:szCs w:val="20"/>
              </w:rPr>
            </w:pPr>
            <w:r>
              <w:rPr>
                <w:rFonts w:ascii="Arial" w:hAnsi="Arial" w:cs="Arial"/>
                <w:b/>
                <w:bCs/>
                <w:sz w:val="20"/>
                <w:szCs w:val="20"/>
              </w:rPr>
              <w:t>0</w:t>
            </w:r>
          </w:p>
        </w:tc>
        <w:tc>
          <w:tcPr>
            <w:tcW w:w="885"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bl>
    <w:p w:rsidR="008839EE" w:rsidRPr="003B544A" w:rsidRDefault="008839EE" w:rsidP="008839EE">
      <w:pPr>
        <w:jc w:val="center"/>
        <w:rPr>
          <w:color w:val="000000"/>
          <w:sz w:val="22"/>
          <w:szCs w:val="22"/>
        </w:rPr>
      </w:pPr>
    </w:p>
    <w:p w:rsidR="008839EE" w:rsidRPr="00024914" w:rsidRDefault="008839EE" w:rsidP="008839EE">
      <w:pPr>
        <w:jc w:val="center"/>
        <w:rPr>
          <w:b/>
          <w:color w:val="000000"/>
          <w:sz w:val="22"/>
          <w:szCs w:val="22"/>
        </w:rPr>
      </w:pPr>
      <w:r w:rsidRPr="003B544A">
        <w:rPr>
          <w:color w:val="000000"/>
          <w:sz w:val="22"/>
          <w:szCs w:val="22"/>
        </w:rPr>
        <w:br w:type="page"/>
      </w:r>
      <w:r w:rsidRPr="00024914">
        <w:rPr>
          <w:b/>
          <w:color w:val="000000"/>
          <w:sz w:val="22"/>
          <w:szCs w:val="22"/>
        </w:rPr>
        <w:lastRenderedPageBreak/>
        <w:t>7</w:t>
      </w:r>
    </w:p>
    <w:p w:rsidR="008839EE" w:rsidRDefault="008839EE" w:rsidP="008839EE">
      <w:pPr>
        <w:rPr>
          <w:color w:val="000000"/>
          <w:sz w:val="22"/>
          <w:szCs w:val="22"/>
        </w:rPr>
      </w:pPr>
    </w:p>
    <w:p w:rsidR="008839EE" w:rsidRPr="003B544A" w:rsidRDefault="008839EE" w:rsidP="008839EE">
      <w:pPr>
        <w:rPr>
          <w:color w:val="000000"/>
          <w:sz w:val="22"/>
          <w:szCs w:val="22"/>
        </w:rPr>
      </w:pPr>
      <w:r>
        <w:rPr>
          <w:color w:val="000000"/>
          <w:sz w:val="22"/>
          <w:szCs w:val="22"/>
        </w:rPr>
        <w:t>Table 6 / Figure 6</w:t>
      </w:r>
      <w:r w:rsidRPr="003B544A">
        <w:rPr>
          <w:color w:val="000000"/>
          <w:sz w:val="22"/>
          <w:szCs w:val="22"/>
        </w:rPr>
        <w:t xml:space="preserve"> illustrates the concept of periods, based on calculations of hydration numbers from conductance, as proposed by Flint; for the range of ions shown, the totals of Z+C+H tend to cluster around values indicating the first, second or third hydrational period: </w:t>
      </w:r>
    </w:p>
    <w:p w:rsidR="008839EE" w:rsidRPr="003B544A" w:rsidRDefault="008839EE" w:rsidP="008839EE">
      <w:pPr>
        <w:jc w:val="center"/>
        <w:rPr>
          <w:color w:val="000000"/>
          <w:sz w:val="22"/>
          <w:szCs w:val="22"/>
        </w:rPr>
      </w:pPr>
    </w:p>
    <w:p w:rsidR="008839EE" w:rsidRPr="003B544A" w:rsidRDefault="008839EE" w:rsidP="008839EE">
      <w:pPr>
        <w:jc w:val="center"/>
        <w:rPr>
          <w:color w:val="000000"/>
          <w:sz w:val="22"/>
          <w:szCs w:val="22"/>
        </w:rPr>
      </w:pPr>
    </w:p>
    <w:tbl>
      <w:tblPr>
        <w:tblW w:w="8103" w:type="dxa"/>
        <w:tblInd w:w="108" w:type="dxa"/>
        <w:tblLook w:val="0000"/>
      </w:tblPr>
      <w:tblGrid>
        <w:gridCol w:w="1023"/>
        <w:gridCol w:w="439"/>
        <w:gridCol w:w="518"/>
        <w:gridCol w:w="717"/>
        <w:gridCol w:w="1534"/>
        <w:gridCol w:w="976"/>
        <w:gridCol w:w="976"/>
        <w:gridCol w:w="976"/>
        <w:gridCol w:w="236"/>
        <w:gridCol w:w="236"/>
        <w:gridCol w:w="236"/>
        <w:gridCol w:w="236"/>
      </w:tblGrid>
      <w:tr w:rsidR="008839EE">
        <w:trPr>
          <w:gridAfter w:val="4"/>
          <w:wAfter w:w="944" w:type="dxa"/>
          <w:trHeight w:val="375"/>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ION</w:t>
            </w:r>
          </w:p>
        </w:tc>
        <w:tc>
          <w:tcPr>
            <w:tcW w:w="439"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Z</w:t>
            </w:r>
          </w:p>
        </w:tc>
        <w:tc>
          <w:tcPr>
            <w:tcW w:w="518"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 xml:space="preserve"> C</w:t>
            </w:r>
          </w:p>
        </w:tc>
        <w:tc>
          <w:tcPr>
            <w:tcW w:w="717"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 xml:space="preserve">  H</w:t>
            </w:r>
          </w:p>
        </w:tc>
        <w:tc>
          <w:tcPr>
            <w:tcW w:w="1534"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N=(Z+C+H)/23</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pict>
                <v:shape id="_x0000_s1093" type="#_x0000_t201" style="position:absolute;margin-left:3.3pt;margin-top:5.1pt;width:133.65pt;height:468pt;z-index:251660800;mso-position-horizontal-relative:text;mso-position-vertical-relative:text" fillcolor="window" strokecolor="windowText" o:insetmode="auto">
                  <v:imagedata r:id="rId11" o:title="clip_image001"/>
                  <o:lock v:ext="edit" rotation="t"/>
                </v:shape>
              </w:pic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30"/>
        </w:trPr>
        <w:tc>
          <w:tcPr>
            <w:tcW w:w="1023" w:type="dxa"/>
            <w:tcBorders>
              <w:top w:val="single" w:sz="8" w:space="0" w:color="auto"/>
              <w:left w:val="single" w:sz="8" w:space="0" w:color="auto"/>
              <w:bottom w:val="single" w:sz="8" w:space="0" w:color="auto"/>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Na=base</w:t>
            </w:r>
          </w:p>
        </w:tc>
        <w:tc>
          <w:tcPr>
            <w:tcW w:w="439" w:type="dxa"/>
            <w:tcBorders>
              <w:top w:val="single" w:sz="8" w:space="0" w:color="auto"/>
              <w:left w:val="nil"/>
              <w:bottom w:val="single" w:sz="8" w:space="0" w:color="auto"/>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w:t>
            </w:r>
          </w:p>
        </w:tc>
        <w:tc>
          <w:tcPr>
            <w:tcW w:w="518" w:type="dxa"/>
            <w:tcBorders>
              <w:top w:val="single" w:sz="8" w:space="0" w:color="auto"/>
              <w:left w:val="nil"/>
              <w:bottom w:val="single" w:sz="8" w:space="0" w:color="auto"/>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single" w:sz="8" w:space="0" w:color="auto"/>
              <w:left w:val="nil"/>
              <w:bottom w:val="single" w:sz="8" w:space="0" w:color="auto"/>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w:t>
            </w:r>
          </w:p>
        </w:tc>
        <w:tc>
          <w:tcPr>
            <w:tcW w:w="1534" w:type="dxa"/>
            <w:tcBorders>
              <w:top w:val="single" w:sz="8" w:space="0" w:color="auto"/>
              <w:left w:val="nil"/>
              <w:bottom w:val="single" w:sz="8" w:space="0" w:color="auto"/>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Li</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FFFF00"/>
            <w:noWrap/>
            <w:vAlign w:val="bottom"/>
          </w:tcPr>
          <w:p w:rsidR="008839EE" w:rsidRDefault="008839EE" w:rsidP="008839EE">
            <w:pPr>
              <w:jc w:val="right"/>
              <w:rPr>
                <w:rFonts w:ascii="Arial" w:hAnsi="Arial" w:cs="Arial"/>
                <w:sz w:val="20"/>
                <w:szCs w:val="20"/>
              </w:rPr>
            </w:pPr>
            <w:r>
              <w:rPr>
                <w:rFonts w:ascii="Arial" w:hAnsi="Arial" w:cs="Arial"/>
                <w:sz w:val="20"/>
                <w:szCs w:val="20"/>
              </w:rPr>
              <w:t>20.25</w:t>
            </w:r>
          </w:p>
        </w:tc>
        <w:tc>
          <w:tcPr>
            <w:tcW w:w="1534" w:type="dxa"/>
            <w:tcBorders>
              <w:top w:val="single" w:sz="4" w:space="0" w:color="auto"/>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1.054413</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Be</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w:t>
            </w:r>
          </w:p>
        </w:tc>
        <w:tc>
          <w:tcPr>
            <w:tcW w:w="717" w:type="dxa"/>
            <w:tcBorders>
              <w:top w:val="nil"/>
              <w:left w:val="single" w:sz="4" w:space="0" w:color="auto"/>
              <w:bottom w:val="nil"/>
              <w:right w:val="nil"/>
            </w:tcBorders>
            <w:shd w:val="clear" w:color="auto" w:fill="FFFF00"/>
            <w:noWrap/>
            <w:vAlign w:val="bottom"/>
          </w:tcPr>
          <w:p w:rsidR="008839EE" w:rsidRDefault="008839EE" w:rsidP="008839EE">
            <w:pPr>
              <w:jc w:val="right"/>
              <w:rPr>
                <w:rFonts w:ascii="Arial" w:hAnsi="Arial" w:cs="Arial"/>
                <w:sz w:val="20"/>
                <w:szCs w:val="20"/>
              </w:rPr>
            </w:pPr>
            <w:r>
              <w:rPr>
                <w:rFonts w:ascii="Arial" w:hAnsi="Arial" w:cs="Arial"/>
                <w:sz w:val="20"/>
                <w:szCs w:val="20"/>
              </w:rPr>
              <w:t>14.61</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0.896019</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Na (base)</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FFFF00"/>
            <w:noWrap/>
            <w:vAlign w:val="bottom"/>
          </w:tcPr>
          <w:p w:rsidR="008839EE" w:rsidRDefault="008839EE" w:rsidP="008839EE">
            <w:pPr>
              <w:jc w:val="right"/>
              <w:rPr>
                <w:rFonts w:ascii="Arial" w:hAnsi="Arial" w:cs="Arial"/>
                <w:sz w:val="20"/>
                <w:szCs w:val="20"/>
              </w:rPr>
            </w:pPr>
            <w:r>
              <w:rPr>
                <w:rFonts w:ascii="Arial" w:hAnsi="Arial" w:cs="Arial"/>
                <w:sz w:val="20"/>
                <w:szCs w:val="20"/>
              </w:rPr>
              <w:t>11</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Mg</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12</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w:t>
            </w:r>
          </w:p>
        </w:tc>
        <w:tc>
          <w:tcPr>
            <w:tcW w:w="717" w:type="dxa"/>
            <w:tcBorders>
              <w:top w:val="nil"/>
              <w:left w:val="single" w:sz="4" w:space="0" w:color="auto"/>
              <w:bottom w:val="nil"/>
              <w:right w:val="nil"/>
            </w:tcBorders>
            <w:shd w:val="clear" w:color="auto" w:fill="FFFF00"/>
            <w:noWrap/>
            <w:vAlign w:val="bottom"/>
          </w:tcPr>
          <w:p w:rsidR="008839EE" w:rsidRDefault="008839EE" w:rsidP="008839EE">
            <w:pPr>
              <w:jc w:val="right"/>
              <w:rPr>
                <w:rFonts w:ascii="Arial" w:hAnsi="Arial" w:cs="Arial"/>
                <w:sz w:val="20"/>
                <w:szCs w:val="20"/>
              </w:rPr>
            </w:pPr>
            <w:r>
              <w:rPr>
                <w:rFonts w:ascii="Arial" w:hAnsi="Arial" w:cs="Arial"/>
                <w:sz w:val="20"/>
                <w:szCs w:val="20"/>
              </w:rPr>
              <w:t>9.431</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1.018753</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Al</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13</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w:t>
            </w:r>
          </w:p>
        </w:tc>
        <w:tc>
          <w:tcPr>
            <w:tcW w:w="717" w:type="dxa"/>
            <w:tcBorders>
              <w:top w:val="nil"/>
              <w:left w:val="single" w:sz="4" w:space="0" w:color="auto"/>
              <w:bottom w:val="nil"/>
              <w:right w:val="nil"/>
            </w:tcBorders>
            <w:shd w:val="clear" w:color="auto" w:fill="FFFF00"/>
            <w:noWrap/>
            <w:vAlign w:val="bottom"/>
          </w:tcPr>
          <w:p w:rsidR="008839EE" w:rsidRDefault="008839EE" w:rsidP="008839EE">
            <w:pPr>
              <w:jc w:val="right"/>
              <w:rPr>
                <w:rFonts w:ascii="Arial" w:hAnsi="Arial" w:cs="Arial"/>
                <w:sz w:val="20"/>
                <w:szCs w:val="20"/>
              </w:rPr>
            </w:pPr>
            <w:r>
              <w:rPr>
                <w:rFonts w:ascii="Arial" w:hAnsi="Arial" w:cs="Arial"/>
                <w:sz w:val="20"/>
                <w:szCs w:val="20"/>
              </w:rPr>
              <w:t>6.016</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0.957202</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K</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19</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FFFF00"/>
            <w:noWrap/>
            <w:vAlign w:val="bottom"/>
          </w:tcPr>
          <w:p w:rsidR="008839EE" w:rsidRDefault="008839EE" w:rsidP="008839EE">
            <w:pPr>
              <w:jc w:val="right"/>
              <w:rPr>
                <w:rFonts w:ascii="Arial" w:hAnsi="Arial" w:cs="Arial"/>
                <w:sz w:val="20"/>
                <w:szCs w:val="20"/>
              </w:rPr>
            </w:pPr>
            <w:r>
              <w:rPr>
                <w:rFonts w:ascii="Arial" w:hAnsi="Arial" w:cs="Arial"/>
                <w:sz w:val="20"/>
                <w:szCs w:val="20"/>
              </w:rPr>
              <w:t>3.507</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1.022029</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Sr</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38</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4.322</w:t>
            </w:r>
          </w:p>
        </w:tc>
        <w:tc>
          <w:tcPr>
            <w:tcW w:w="1534" w:type="dxa"/>
            <w:tcBorders>
              <w:top w:val="nil"/>
              <w:left w:val="single" w:sz="4" w:space="0" w:color="auto"/>
              <w:bottom w:val="nil"/>
              <w:right w:val="single" w:sz="4" w:space="0" w:color="auto"/>
            </w:tcBorders>
            <w:shd w:val="clear" w:color="auto" w:fill="FF99CC"/>
            <w:noWrap/>
            <w:vAlign w:val="bottom"/>
          </w:tcPr>
          <w:p w:rsidR="008839EE" w:rsidRDefault="008839EE" w:rsidP="008839EE">
            <w:pPr>
              <w:jc w:val="right"/>
              <w:rPr>
                <w:rFonts w:ascii="Arial" w:hAnsi="Arial" w:cs="Arial"/>
                <w:sz w:val="20"/>
                <w:szCs w:val="20"/>
              </w:rPr>
            </w:pPr>
            <w:r>
              <w:rPr>
                <w:rFonts w:ascii="Arial" w:hAnsi="Arial" w:cs="Arial"/>
                <w:sz w:val="20"/>
                <w:szCs w:val="20"/>
              </w:rPr>
              <w:t>1.927055</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gridAfter w:val="4"/>
          <w:wAfter w:w="944" w:type="dxa"/>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Y</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39</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3.38</w:t>
            </w:r>
          </w:p>
        </w:tc>
        <w:tc>
          <w:tcPr>
            <w:tcW w:w="1534" w:type="dxa"/>
            <w:tcBorders>
              <w:top w:val="nil"/>
              <w:left w:val="single" w:sz="4" w:space="0" w:color="auto"/>
              <w:bottom w:val="nil"/>
              <w:right w:val="single" w:sz="4" w:space="0" w:color="auto"/>
            </w:tcBorders>
            <w:shd w:val="clear" w:color="auto" w:fill="FF99CC"/>
            <w:noWrap/>
            <w:vAlign w:val="bottom"/>
          </w:tcPr>
          <w:p w:rsidR="008839EE" w:rsidRDefault="008839EE" w:rsidP="008839EE">
            <w:pPr>
              <w:jc w:val="right"/>
              <w:rPr>
                <w:rFonts w:ascii="Arial" w:hAnsi="Arial" w:cs="Arial"/>
                <w:sz w:val="20"/>
                <w:szCs w:val="20"/>
              </w:rPr>
            </w:pPr>
            <w:r>
              <w:rPr>
                <w:rFonts w:ascii="Arial" w:hAnsi="Arial" w:cs="Arial"/>
                <w:sz w:val="20"/>
                <w:szCs w:val="20"/>
              </w:rPr>
              <w:t>1.973051</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N3</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21</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4.275</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1.055424</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HS</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17</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5.543</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0.936671</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HCO3</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31</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12.29</w:t>
            </w:r>
          </w:p>
        </w:tc>
        <w:tc>
          <w:tcPr>
            <w:tcW w:w="1534" w:type="dxa"/>
            <w:tcBorders>
              <w:top w:val="nil"/>
              <w:left w:val="single" w:sz="4" w:space="0" w:color="auto"/>
              <w:bottom w:val="nil"/>
              <w:right w:val="single" w:sz="4" w:space="0" w:color="auto"/>
            </w:tcBorders>
            <w:shd w:val="clear" w:color="auto" w:fill="FF99CC"/>
            <w:noWrap/>
            <w:vAlign w:val="bottom"/>
          </w:tcPr>
          <w:p w:rsidR="008839EE" w:rsidRDefault="008839EE" w:rsidP="008839EE">
            <w:pPr>
              <w:jc w:val="right"/>
              <w:rPr>
                <w:rFonts w:ascii="Arial" w:hAnsi="Arial" w:cs="Arial"/>
                <w:sz w:val="20"/>
                <w:szCs w:val="20"/>
              </w:rPr>
            </w:pPr>
            <w:r>
              <w:rPr>
                <w:rFonts w:ascii="Arial" w:hAnsi="Arial" w:cs="Arial"/>
                <w:sz w:val="20"/>
                <w:szCs w:val="20"/>
              </w:rPr>
              <w:t>1.838563</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H2PO2</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33</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11.06</w:t>
            </w:r>
          </w:p>
        </w:tc>
        <w:tc>
          <w:tcPr>
            <w:tcW w:w="1534" w:type="dxa"/>
            <w:tcBorders>
              <w:top w:val="nil"/>
              <w:left w:val="single" w:sz="4" w:space="0" w:color="auto"/>
              <w:bottom w:val="nil"/>
              <w:right w:val="single" w:sz="4" w:space="0" w:color="auto"/>
            </w:tcBorders>
            <w:shd w:val="clear" w:color="auto" w:fill="FF99CC"/>
            <w:noWrap/>
            <w:vAlign w:val="bottom"/>
          </w:tcPr>
          <w:p w:rsidR="008839EE" w:rsidRDefault="008839EE" w:rsidP="008839EE">
            <w:pPr>
              <w:jc w:val="right"/>
              <w:rPr>
                <w:rFonts w:ascii="Arial" w:hAnsi="Arial" w:cs="Arial"/>
                <w:sz w:val="20"/>
                <w:szCs w:val="20"/>
              </w:rPr>
            </w:pPr>
            <w:r>
              <w:rPr>
                <w:rFonts w:ascii="Arial" w:hAnsi="Arial" w:cs="Arial"/>
                <w:sz w:val="20"/>
                <w:szCs w:val="20"/>
              </w:rPr>
              <w:t>1.872288</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HPO4</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48</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23.29</w:t>
            </w:r>
          </w:p>
        </w:tc>
        <w:tc>
          <w:tcPr>
            <w:tcW w:w="1534" w:type="dxa"/>
            <w:tcBorders>
              <w:top w:val="nil"/>
              <w:left w:val="single" w:sz="4" w:space="0" w:color="auto"/>
              <w:bottom w:val="nil"/>
              <w:right w:val="single" w:sz="4" w:space="0" w:color="auto"/>
            </w:tcBorders>
            <w:shd w:val="clear" w:color="auto" w:fill="FFFF99"/>
            <w:noWrap/>
            <w:vAlign w:val="bottom"/>
          </w:tcPr>
          <w:p w:rsidR="008839EE" w:rsidRDefault="008839EE" w:rsidP="008839EE">
            <w:pPr>
              <w:jc w:val="right"/>
              <w:rPr>
                <w:rFonts w:ascii="Arial" w:hAnsi="Arial" w:cs="Arial"/>
                <w:sz w:val="20"/>
                <w:szCs w:val="20"/>
              </w:rPr>
            </w:pPr>
            <w:r>
              <w:rPr>
                <w:rFonts w:ascii="Arial" w:hAnsi="Arial" w:cs="Arial"/>
                <w:sz w:val="20"/>
                <w:szCs w:val="20"/>
              </w:rPr>
              <w:t>3.012739</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H2PO4</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49</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23.07</w:t>
            </w:r>
          </w:p>
        </w:tc>
        <w:tc>
          <w:tcPr>
            <w:tcW w:w="1534" w:type="dxa"/>
            <w:tcBorders>
              <w:top w:val="nil"/>
              <w:left w:val="single" w:sz="4" w:space="0" w:color="auto"/>
              <w:bottom w:val="nil"/>
              <w:right w:val="single" w:sz="4" w:space="0" w:color="auto"/>
            </w:tcBorders>
            <w:shd w:val="clear" w:color="auto" w:fill="FFFF99"/>
            <w:noWrap/>
            <w:vAlign w:val="bottom"/>
          </w:tcPr>
          <w:p w:rsidR="008839EE" w:rsidRDefault="008839EE" w:rsidP="008839EE">
            <w:pPr>
              <w:jc w:val="right"/>
              <w:rPr>
                <w:rFonts w:ascii="Arial" w:hAnsi="Arial" w:cs="Arial"/>
                <w:sz w:val="20"/>
                <w:szCs w:val="20"/>
              </w:rPr>
            </w:pPr>
            <w:r>
              <w:rPr>
                <w:rFonts w:ascii="Arial" w:hAnsi="Arial" w:cs="Arial"/>
                <w:sz w:val="20"/>
                <w:szCs w:val="20"/>
              </w:rPr>
              <w:t>3.090034</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PO4</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47</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-3</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1.608</w:t>
            </w:r>
          </w:p>
        </w:tc>
        <w:tc>
          <w:tcPr>
            <w:tcW w:w="1534" w:type="dxa"/>
            <w:tcBorders>
              <w:top w:val="nil"/>
              <w:left w:val="single" w:sz="4" w:space="0" w:color="auto"/>
              <w:bottom w:val="nil"/>
              <w:right w:val="single" w:sz="4" w:space="0" w:color="auto"/>
            </w:tcBorders>
            <w:shd w:val="clear" w:color="auto" w:fill="FF99CC"/>
            <w:noWrap/>
            <w:vAlign w:val="bottom"/>
          </w:tcPr>
          <w:p w:rsidR="008839EE" w:rsidRDefault="008839EE" w:rsidP="008839EE">
            <w:pPr>
              <w:jc w:val="right"/>
              <w:rPr>
                <w:rFonts w:ascii="Arial" w:hAnsi="Arial" w:cs="Arial"/>
                <w:sz w:val="20"/>
                <w:szCs w:val="20"/>
              </w:rPr>
            </w:pPr>
            <w:r>
              <w:rPr>
                <w:rFonts w:ascii="Arial" w:hAnsi="Arial" w:cs="Arial"/>
                <w:sz w:val="20"/>
                <w:szCs w:val="20"/>
              </w:rPr>
              <w:t>1.98296</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45"/>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CNO</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21</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5.19</w:t>
            </w:r>
          </w:p>
        </w:tc>
        <w:tc>
          <w:tcPr>
            <w:tcW w:w="1534" w:type="dxa"/>
            <w:tcBorders>
              <w:top w:val="nil"/>
              <w:left w:val="single" w:sz="4" w:space="0" w:color="auto"/>
              <w:bottom w:val="nil"/>
              <w:right w:val="single" w:sz="4" w:space="0" w:color="auto"/>
            </w:tcBorders>
            <w:shd w:val="clear" w:color="auto" w:fill="CCFFFF"/>
            <w:noWrap/>
            <w:vAlign w:val="bottom"/>
          </w:tcPr>
          <w:p w:rsidR="008839EE" w:rsidRDefault="008839EE" w:rsidP="008839EE">
            <w:pPr>
              <w:jc w:val="right"/>
              <w:rPr>
                <w:rFonts w:ascii="Arial" w:hAnsi="Arial" w:cs="Arial"/>
                <w:sz w:val="20"/>
                <w:szCs w:val="20"/>
              </w:rPr>
            </w:pPr>
            <w:r>
              <w:rPr>
                <w:rFonts w:ascii="Arial" w:hAnsi="Arial" w:cs="Arial"/>
                <w:sz w:val="20"/>
                <w:szCs w:val="20"/>
              </w:rPr>
              <w:t>1.095214</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45"/>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SeCN</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47</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2.278</w:t>
            </w:r>
          </w:p>
        </w:tc>
        <w:tc>
          <w:tcPr>
            <w:tcW w:w="1534" w:type="dxa"/>
            <w:tcBorders>
              <w:top w:val="nil"/>
              <w:left w:val="single" w:sz="4" w:space="0" w:color="auto"/>
              <w:bottom w:val="nil"/>
              <w:right w:val="single" w:sz="4" w:space="0" w:color="auto"/>
            </w:tcBorders>
            <w:shd w:val="clear" w:color="auto" w:fill="FF99CC"/>
            <w:noWrap/>
            <w:vAlign w:val="bottom"/>
          </w:tcPr>
          <w:p w:rsidR="008839EE" w:rsidRDefault="008839EE" w:rsidP="008839EE">
            <w:pPr>
              <w:jc w:val="right"/>
              <w:rPr>
                <w:rFonts w:ascii="Arial" w:hAnsi="Arial" w:cs="Arial"/>
                <w:sz w:val="20"/>
                <w:szCs w:val="20"/>
              </w:rPr>
            </w:pPr>
            <w:r>
              <w:rPr>
                <w:rFonts w:ascii="Arial" w:hAnsi="Arial" w:cs="Arial"/>
                <w:sz w:val="20"/>
                <w:szCs w:val="20"/>
              </w:rPr>
              <w:t>2.09905</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PO3F</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48</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2.498</w:t>
            </w:r>
          </w:p>
        </w:tc>
        <w:tc>
          <w:tcPr>
            <w:tcW w:w="1534" w:type="dxa"/>
            <w:tcBorders>
              <w:top w:val="nil"/>
              <w:left w:val="single" w:sz="4" w:space="0" w:color="auto"/>
              <w:bottom w:val="nil"/>
              <w:right w:val="single" w:sz="4" w:space="0" w:color="auto"/>
            </w:tcBorders>
            <w:shd w:val="clear" w:color="auto" w:fill="FF99CC"/>
            <w:noWrap/>
            <w:vAlign w:val="bottom"/>
          </w:tcPr>
          <w:p w:rsidR="008839EE" w:rsidRDefault="008839EE" w:rsidP="008839EE">
            <w:pPr>
              <w:jc w:val="right"/>
              <w:rPr>
                <w:rFonts w:ascii="Arial" w:hAnsi="Arial" w:cs="Arial"/>
                <w:sz w:val="20"/>
                <w:szCs w:val="20"/>
              </w:rPr>
            </w:pPr>
            <w:r>
              <w:rPr>
                <w:rFonts w:ascii="Arial" w:hAnsi="Arial" w:cs="Arial"/>
                <w:sz w:val="20"/>
                <w:szCs w:val="20"/>
              </w:rPr>
              <w:t>2.152065</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r w:rsidR="008839EE">
        <w:trPr>
          <w:trHeight w:val="360"/>
        </w:trPr>
        <w:tc>
          <w:tcPr>
            <w:tcW w:w="1023"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r>
              <w:rPr>
                <w:rFonts w:ascii="Arial" w:hAnsi="Arial" w:cs="Arial"/>
                <w:sz w:val="20"/>
                <w:szCs w:val="20"/>
              </w:rPr>
              <w:t>PF6</w:t>
            </w:r>
          </w:p>
        </w:tc>
        <w:tc>
          <w:tcPr>
            <w:tcW w:w="439"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69</w:t>
            </w:r>
          </w:p>
        </w:tc>
        <w:tc>
          <w:tcPr>
            <w:tcW w:w="518" w:type="dxa"/>
            <w:tcBorders>
              <w:top w:val="nil"/>
              <w:left w:val="nil"/>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w:t>
            </w:r>
          </w:p>
        </w:tc>
        <w:tc>
          <w:tcPr>
            <w:tcW w:w="717" w:type="dxa"/>
            <w:tcBorders>
              <w:top w:val="nil"/>
              <w:left w:val="single" w:sz="4" w:space="0" w:color="auto"/>
              <w:bottom w:val="nil"/>
              <w:right w:val="nil"/>
            </w:tcBorders>
            <w:shd w:val="clear" w:color="auto" w:fill="auto"/>
            <w:noWrap/>
            <w:vAlign w:val="bottom"/>
          </w:tcPr>
          <w:p w:rsidR="008839EE" w:rsidRDefault="008839EE" w:rsidP="008839EE">
            <w:pPr>
              <w:jc w:val="right"/>
              <w:rPr>
                <w:rFonts w:ascii="Arial" w:hAnsi="Arial" w:cs="Arial"/>
                <w:sz w:val="20"/>
                <w:szCs w:val="20"/>
              </w:rPr>
            </w:pPr>
            <w:r>
              <w:rPr>
                <w:rFonts w:ascii="Arial" w:hAnsi="Arial" w:cs="Arial"/>
                <w:sz w:val="20"/>
                <w:szCs w:val="20"/>
              </w:rPr>
              <w:t>1.998</w:t>
            </w:r>
          </w:p>
        </w:tc>
        <w:tc>
          <w:tcPr>
            <w:tcW w:w="1534" w:type="dxa"/>
            <w:tcBorders>
              <w:top w:val="nil"/>
              <w:left w:val="single" w:sz="4" w:space="0" w:color="auto"/>
              <w:bottom w:val="single" w:sz="4" w:space="0" w:color="auto"/>
              <w:right w:val="single" w:sz="4" w:space="0" w:color="auto"/>
            </w:tcBorders>
            <w:shd w:val="clear" w:color="auto" w:fill="FFFF99"/>
            <w:noWrap/>
            <w:vAlign w:val="bottom"/>
          </w:tcPr>
          <w:p w:rsidR="008839EE" w:rsidRDefault="008839EE" w:rsidP="008839EE">
            <w:pPr>
              <w:jc w:val="right"/>
              <w:rPr>
                <w:rFonts w:ascii="Arial" w:hAnsi="Arial" w:cs="Arial"/>
                <w:sz w:val="20"/>
                <w:szCs w:val="20"/>
              </w:rPr>
            </w:pPr>
            <w:r>
              <w:rPr>
                <w:rFonts w:ascii="Arial" w:hAnsi="Arial" w:cs="Arial"/>
                <w:sz w:val="20"/>
                <w:szCs w:val="20"/>
              </w:rPr>
              <w:t>3.04341</w:t>
            </w: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976" w:type="dxa"/>
            <w:tcBorders>
              <w:top w:val="nil"/>
              <w:left w:val="nil"/>
              <w:bottom w:val="nil"/>
              <w:right w:val="nil"/>
            </w:tcBorders>
            <w:shd w:val="clear" w:color="auto" w:fill="auto"/>
            <w:noWrap/>
            <w:vAlign w:val="bottom"/>
          </w:tcPr>
          <w:p w:rsidR="008839EE" w:rsidRDefault="008839EE" w:rsidP="008839EE">
            <w:pPr>
              <w:rPr>
                <w:rFonts w:ascii="Arial" w:hAnsi="Arial" w:cs="Arial"/>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c>
          <w:tcPr>
            <w:tcW w:w="236" w:type="dxa"/>
            <w:shd w:val="clear" w:color="auto" w:fill="auto"/>
            <w:vAlign w:val="center"/>
          </w:tcPr>
          <w:p w:rsidR="008839EE" w:rsidRDefault="008839EE" w:rsidP="008839EE">
            <w:pPr>
              <w:rPr>
                <w:sz w:val="20"/>
                <w:szCs w:val="20"/>
              </w:rPr>
            </w:pPr>
          </w:p>
        </w:tc>
      </w:tr>
    </w:tbl>
    <w:p w:rsidR="008839EE" w:rsidRPr="003B544A" w:rsidRDefault="008839EE" w:rsidP="008839EE">
      <w:pPr>
        <w:jc w:val="center"/>
        <w:rPr>
          <w:color w:val="000000"/>
          <w:sz w:val="22"/>
          <w:szCs w:val="22"/>
        </w:rPr>
      </w:pPr>
    </w:p>
    <w:p w:rsidR="008839EE" w:rsidRPr="003B544A" w:rsidRDefault="008839EE" w:rsidP="008839EE">
      <w:pPr>
        <w:jc w:val="center"/>
        <w:rPr>
          <w:color w:val="000000"/>
          <w:sz w:val="22"/>
          <w:szCs w:val="22"/>
        </w:rPr>
      </w:pPr>
    </w:p>
    <w:p w:rsidR="008839EE" w:rsidRPr="00024914" w:rsidRDefault="008839EE" w:rsidP="008839EE">
      <w:pPr>
        <w:pStyle w:val="HTMLPreformatted"/>
        <w:pageBreakBefore/>
        <w:shd w:val="clear" w:color="auto" w:fill="FFFFFF"/>
        <w:jc w:val="center"/>
        <w:rPr>
          <w:b/>
          <w:sz w:val="22"/>
          <w:szCs w:val="22"/>
        </w:rPr>
      </w:pPr>
      <w:r w:rsidRPr="00024914">
        <w:rPr>
          <w:b/>
          <w:sz w:val="22"/>
          <w:szCs w:val="22"/>
        </w:rPr>
        <w:lastRenderedPageBreak/>
        <w:t>8</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 xml:space="preserve"> </w:t>
      </w: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Table 7</w:t>
      </w:r>
      <w:r w:rsidRPr="005E70E9">
        <w:rPr>
          <w:color w:val="000000"/>
          <w:sz w:val="22"/>
          <w:szCs w:val="22"/>
        </w:rPr>
        <w:t xml:space="preserve"> below illustrates calculations of both diameters and conductivities for the set of eight ions listed by Ganong.*  For a majority (five) of these eight (hydrated) ions, both diameter* &amp; conductivity** may be approximated as cube-root of volume &amp; inverse-square-root of weight, respectively when these ions are assumed to be fully hydrated as per </w:t>
      </w:r>
      <w:smartTag w:uri="urn:schemas-microsoft-com:office:smarttags" w:element="City">
        <w:smartTag w:uri="urn:schemas-microsoft-com:office:smarttags" w:element="place">
          <w:r w:rsidRPr="005E70E9">
            <w:rPr>
              <w:color w:val="000000"/>
              <w:sz w:val="22"/>
              <w:szCs w:val="22"/>
            </w:rPr>
            <w:t>Flint</w:t>
          </w:r>
        </w:smartTag>
      </w:smartTag>
      <w:r w:rsidRPr="005E70E9">
        <w:rPr>
          <w:color w:val="000000"/>
          <w:sz w:val="22"/>
          <w:szCs w:val="22"/>
        </w:rPr>
        <w:t xml:space="preserve">***. </w:t>
      </w: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IONIC SIZE AND CONDUCTIVITY</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Ion     Diameter  Conductivity</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sidRPr="003B544A">
        <w:rPr>
          <w:rFonts w:ascii="Courier New" w:hAnsi="Courier New" w:cs="Courier New"/>
          <w:color w:val="000000"/>
          <w:sz w:val="22"/>
          <w:szCs w:val="22"/>
        </w:rPr>
        <w:t xml:space="preserve"> Obs* Calc Ob** Calc H  </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Na+ BASE 1.47 1.47 50.1 50.1 11</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K+       1.00 1.02 73.5 76.9 3</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HCO3-    1.65 1.66 44.5 40.0 16</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CH3COO-  1.80 1.68 40.9 40.0 16</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H2PO4-   2.04 1.84 33   34.3 21</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Cl-       .96 1.28 76.3 59.4 7</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 alt.    .96 1.04 76.3 76.6 3.5</w:t>
      </w:r>
      <w:r>
        <w:rPr>
          <w:rFonts w:ascii="Courier New" w:hAnsi="Courier New" w:cs="Courier New"/>
          <w:color w:val="000000"/>
          <w:sz w:val="22"/>
          <w:szCs w:val="22"/>
        </w:rPr>
        <w:t xml:space="preserve"> *</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HPO4--   2.58 1.89 33   33.2 23</w:t>
      </w:r>
    </w:p>
    <w:p w:rsidR="008839EE" w:rsidRPr="00815F88"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815F88">
        <w:rPr>
          <w:rFonts w:ascii="Courier New" w:hAnsi="Courier New" w:cs="Courier New"/>
          <w:color w:val="000000"/>
          <w:sz w:val="22"/>
          <w:szCs w:val="22"/>
        </w:rPr>
        <w:t>" alt.   2.58 2.39</w:t>
      </w:r>
      <w:r>
        <w:rPr>
          <w:rFonts w:ascii="Courier New" w:hAnsi="Courier New" w:cs="Courier New"/>
          <w:color w:val="000000"/>
          <w:sz w:val="22"/>
          <w:szCs w:val="22"/>
        </w:rPr>
        <w:t xml:space="preserve">               *</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SO4--    1.84 1.89 80   33.2 23</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3B544A">
        <w:rPr>
          <w:rFonts w:ascii="Courier New" w:hAnsi="Courier New" w:cs="Courier New"/>
          <w:color w:val="000000"/>
          <w:sz w:val="22"/>
          <w:szCs w:val="22"/>
        </w:rPr>
        <w:t>" alt.             80   77.8 0</w:t>
      </w:r>
      <w:r>
        <w:rPr>
          <w:rFonts w:ascii="Courier New" w:hAnsi="Courier New" w:cs="Courier New"/>
          <w:color w:val="000000"/>
          <w:sz w:val="22"/>
          <w:szCs w:val="22"/>
        </w:rPr>
        <w:t xml:space="preserve">   *</w:t>
      </w:r>
    </w:p>
    <w:p w:rsidR="008839EE" w:rsidRPr="003B544A"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*GANONG, W.F., </w:t>
      </w:r>
      <w:r w:rsidRPr="005E70E9">
        <w:rPr>
          <w:i/>
          <w:color w:val="000000"/>
          <w:sz w:val="22"/>
          <w:szCs w:val="22"/>
        </w:rPr>
        <w:t>Review of Medical Physiology</w:t>
      </w:r>
      <w:r w:rsidRPr="005E70E9">
        <w:rPr>
          <w:color w:val="000000"/>
          <w:sz w:val="22"/>
          <w:szCs w:val="22"/>
        </w:rPr>
        <w:t xml:space="preserve"> (1975) 12.  </w:t>
      </w: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 CRC (1985-6) D167-8.  </w:t>
      </w: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***FLINT, L.H., </w:t>
      </w:r>
      <w:r w:rsidRPr="005E70E9">
        <w:rPr>
          <w:i/>
          <w:color w:val="000000"/>
          <w:sz w:val="22"/>
          <w:szCs w:val="22"/>
        </w:rPr>
        <w:t>Behavior Patterns of Hydration</w:t>
      </w:r>
      <w:r w:rsidRPr="005E70E9">
        <w:rPr>
          <w:color w:val="000000"/>
          <w:sz w:val="22"/>
          <w:szCs w:val="22"/>
        </w:rPr>
        <w:t xml:space="preserve"> (1964) 21-30: Wa[anhydrous weight]=2(atomic # +- valence); Wh[hydrated weight]=Wa+18H; H[hydration#] =23n-(atomic # +-valence) [H=23 to 0, n=1 to 4]; Vh[hydrated volume]=Wh/{1+(Wa/Wh)}.   </w:t>
      </w: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 Anomolous results may be improved (alt.) for: </w:t>
      </w:r>
      <w:r w:rsidRPr="005E70E9">
        <w:rPr>
          <w:color w:val="000000"/>
          <w:sz w:val="22"/>
          <w:szCs w:val="22"/>
        </w:rPr>
        <w:br/>
        <w:t>(a) both size and conductivity of the Cl- ion by assuming an hydration number [H] of half the prescribed maximum. An hydration number of 3.5 was first suggested by Bousfield, and could represent a type of sharing or bonding;</w:t>
      </w: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(b) the diameter of HPO4-- by speculatively deriving it as the cube-root of 2 fully-hydrated ionic volumes, while this ion calculates as a single fully-hydrated ion when measured for conductivity.  This could be taken to suggest that this ion, when not under electrical stress, may exist in a binary form, as do many gaseous atoms, e.g., H2, O2, N2, etc.; but is split into its two parts when under electrical stress, while each part holds its water of hydration complement.  </w:t>
      </w: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(c) conductivity of the SO4—ion by assuming it is fully hydrated when measured for diameter, and anhydrous when measured for conductivity. The precise data suggest that the sulfate ion releases </w:t>
      </w:r>
      <w:r>
        <w:rPr>
          <w:color w:val="000000"/>
          <w:sz w:val="22"/>
          <w:szCs w:val="22"/>
        </w:rPr>
        <w:t xml:space="preserve">all of </w:t>
      </w:r>
      <w:r w:rsidRPr="005E70E9">
        <w:rPr>
          <w:color w:val="000000"/>
          <w:sz w:val="22"/>
          <w:szCs w:val="22"/>
        </w:rPr>
        <w:t xml:space="preserve">its water of hydration </w:t>
      </w:r>
    </w:p>
    <w:p w:rsidR="008839EE" w:rsidRPr="00024914"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024914">
        <w:rPr>
          <w:b/>
          <w:color w:val="000000"/>
          <w:sz w:val="22"/>
          <w:szCs w:val="22"/>
        </w:rPr>
        <w:lastRenderedPageBreak/>
        <w:t>9</w:t>
      </w: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un</w:t>
      </w:r>
      <w:r>
        <w:rPr>
          <w:color w:val="000000"/>
          <w:sz w:val="22"/>
          <w:szCs w:val="22"/>
        </w:rPr>
        <w:t xml:space="preserve">der electrical stress, becoming an </w:t>
      </w:r>
      <w:r w:rsidRPr="005E70E9">
        <w:rPr>
          <w:color w:val="000000"/>
          <w:sz w:val="22"/>
          <w:szCs w:val="22"/>
        </w:rPr>
        <w:t>anhydrous ion.</w:t>
      </w:r>
      <w:r>
        <w:rPr>
          <w:color w:val="000000"/>
          <w:sz w:val="22"/>
          <w:szCs w:val="22"/>
        </w:rPr>
        <w:t xml:space="preserve">  The potential of exploiting such an apparent electrical ionic switching mechanism in biological / medical situations seems worthy of wistful contemplation. </w:t>
      </w:r>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Dr. Flint discusses </w:t>
      </w:r>
      <w:r>
        <w:rPr>
          <w:color w:val="000000"/>
          <w:sz w:val="22"/>
          <w:szCs w:val="22"/>
        </w:rPr>
        <w:t xml:space="preserve">in depth </w:t>
      </w:r>
      <w:r w:rsidRPr="005E70E9">
        <w:rPr>
          <w:color w:val="000000"/>
          <w:sz w:val="22"/>
          <w:szCs w:val="22"/>
        </w:rPr>
        <w:t>variations in hydrational status as a result of electrical stress or other conditions</w:t>
      </w:r>
      <w:r>
        <w:rPr>
          <w:color w:val="000000"/>
          <w:sz w:val="22"/>
          <w:szCs w:val="22"/>
        </w:rPr>
        <w:t>, such as hydrational bonding,</w:t>
      </w:r>
      <w:r w:rsidRPr="005E70E9">
        <w:rPr>
          <w:color w:val="000000"/>
          <w:sz w:val="22"/>
          <w:szCs w:val="22"/>
        </w:rPr>
        <w:t xml:space="preserve"> in his two volumes, usually in a physiological context. </w:t>
      </w:r>
      <w:r>
        <w:rPr>
          <w:color w:val="000000"/>
          <w:sz w:val="22"/>
          <w:szCs w:val="22"/>
        </w:rPr>
        <w:t>The importance of these concepts to animals such as humans is self-evident, for without the likes of hydrational bonding we would collapse in a puddle of mostly water.  Beyond this all-encompassing fact, the reality of life’s processes being governed by eminently calculable (and presumably thus reversible) osmotic processes presents the exciting prospect of inevitable control of these processes, e.g., even those of disease and aging.    The prospect of truly understanding and managing transitions between matter and energy, not merely on the explosive scale of nuclear energy but on the internal living scale, the transition between matter consumed and energy expended in the individual, in a precise and algebraically calculable form, is mind-boggling.  But the significance is by no means limited to biology.</w:t>
      </w: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E70E9">
        <w:rPr>
          <w:color w:val="000000"/>
          <w:sz w:val="22"/>
          <w:szCs w:val="22"/>
        </w:rPr>
        <w:t xml:space="preserve">The calculations above and further mathematical explorations set out in </w:t>
      </w:r>
      <w:r w:rsidRPr="005E70E9">
        <w:rPr>
          <w:i/>
          <w:color w:val="000000"/>
          <w:sz w:val="22"/>
          <w:szCs w:val="22"/>
        </w:rPr>
        <w:t>Principles of Hydration</w:t>
      </w:r>
      <w:r w:rsidRPr="005E70E9">
        <w:rPr>
          <w:color w:val="000000"/>
          <w:sz w:val="22"/>
          <w:szCs w:val="22"/>
        </w:rPr>
        <w:t xml:space="preserve"> are </w:t>
      </w:r>
      <w:r>
        <w:rPr>
          <w:color w:val="000000"/>
          <w:sz w:val="22"/>
          <w:szCs w:val="22"/>
        </w:rPr>
        <w:t>offered as a measure of potential validation, but are not suggested as definitive.  Indeed, Flint himself has emphasized that he is outlining and extending his discovered methodology as well as he was able, but that nothing was sacrosanct and beyond improvement. Indeed what we have here is a foundation and framework for further exploration, study, and wherever feasible, implementation.</w:t>
      </w: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smartTag w:uri="urn:schemas-microsoft-com:office:smarttags" w:element="City">
        <w:smartTag w:uri="urn:schemas-microsoft-com:office:smarttags" w:element="place">
          <w:r>
            <w:rPr>
              <w:color w:val="000000"/>
              <w:sz w:val="22"/>
              <w:szCs w:val="22"/>
            </w:rPr>
            <w:t>Flint</w:t>
          </w:r>
        </w:smartTag>
      </w:smartTag>
      <w:r>
        <w:rPr>
          <w:color w:val="000000"/>
          <w:sz w:val="22"/>
          <w:szCs w:val="22"/>
        </w:rPr>
        <w:t>’s laws of hydration are merely a tool for unlocking the mysteries of science, but arguably the most powerful and all-encompassing tool ever encountered.  Exposure to this magnificent body of work, and the opportunity to possibly extend it and be a vehicle for helping share it with the world, are certainly among the most thrilling, gratifying and humbling experiences that anyone might enjoy in a precious, brutally short, lifetime.</w:t>
      </w: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Stuart Hale Shakman</w:t>
      </w:r>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smartTag w:uri="urn:schemas-microsoft-com:office:smarttags" w:element="place">
        <w:smartTag w:uri="urn:schemas-microsoft-com:office:smarttags" w:element="City">
          <w:r>
            <w:rPr>
              <w:color w:val="000000"/>
              <w:sz w:val="22"/>
              <w:szCs w:val="22"/>
            </w:rPr>
            <w:t>Santa Monica</w:t>
          </w:r>
        </w:smartTag>
        <w:r>
          <w:rPr>
            <w:color w:val="000000"/>
            <w:sz w:val="22"/>
            <w:szCs w:val="22"/>
          </w:rPr>
          <w:t xml:space="preserve">, </w:t>
        </w:r>
        <w:smartTag w:uri="urn:schemas-microsoft-com:office:smarttags" w:element="State">
          <w:r>
            <w:rPr>
              <w:color w:val="000000"/>
              <w:sz w:val="22"/>
              <w:szCs w:val="22"/>
            </w:rPr>
            <w:t>CA</w:t>
          </w:r>
        </w:smartTag>
        <w:r>
          <w:rPr>
            <w:color w:val="000000"/>
            <w:sz w:val="22"/>
            <w:szCs w:val="22"/>
          </w:rPr>
          <w:t xml:space="preserve">, </w:t>
        </w:r>
        <w:smartTag w:uri="urn:schemas-microsoft-com:office:smarttags" w:element="country-region">
          <w:r>
            <w:rPr>
              <w:color w:val="000000"/>
              <w:sz w:val="22"/>
              <w:szCs w:val="22"/>
            </w:rPr>
            <w:t>USA</w:t>
          </w:r>
        </w:smartTag>
      </w:smartTag>
    </w:p>
    <w:p w:rsidR="008839EE"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smartTag w:uri="urn:schemas-microsoft-com:office:smarttags" w:element="date">
        <w:smartTagPr>
          <w:attr w:name="Year" w:val="2014"/>
          <w:attr w:name="Day" w:val="8"/>
          <w:attr w:name="Month" w:val="8"/>
        </w:smartTagPr>
        <w:r>
          <w:rPr>
            <w:color w:val="000000"/>
            <w:sz w:val="22"/>
            <w:szCs w:val="22"/>
          </w:rPr>
          <w:t>August 8, 2014</w:t>
        </w:r>
      </w:smartTag>
    </w:p>
    <w:p w:rsidR="008839EE" w:rsidRPr="005E70E9" w:rsidRDefault="008839EE" w:rsidP="00883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F2C56" w:rsidRPr="008839EE" w:rsidRDefault="002F2C56" w:rsidP="008839EE">
      <w:pPr>
        <w:rPr>
          <w:szCs w:val="16"/>
        </w:rPr>
      </w:pPr>
    </w:p>
    <w:sectPr w:rsidR="002F2C56" w:rsidRPr="008839EE" w:rsidSect="008839EE">
      <w:pgSz w:w="8640" w:h="12960" w:code="1"/>
      <w:pgMar w:top="720" w:right="720" w:bottom="720" w:left="1080" w:header="720" w:footer="720" w:gutter="0"/>
      <w:cols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7D2" w:rsidRDefault="005107D2">
      <w:r>
        <w:separator/>
      </w:r>
    </w:p>
  </w:endnote>
  <w:endnote w:type="continuationSeparator" w:id="1">
    <w:p w:rsidR="005107D2" w:rsidRDefault="00510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7D2" w:rsidRDefault="005107D2">
      <w:r>
        <w:separator/>
      </w:r>
    </w:p>
  </w:footnote>
  <w:footnote w:type="continuationSeparator" w:id="1">
    <w:p w:rsidR="005107D2" w:rsidRDefault="00510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DisplayPageBoundaries/>
  <w:mirrorMargins/>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563949"/>
    <w:rsid w:val="00022D64"/>
    <w:rsid w:val="00024914"/>
    <w:rsid w:val="00035645"/>
    <w:rsid w:val="000626B9"/>
    <w:rsid w:val="00070C72"/>
    <w:rsid w:val="0008685D"/>
    <w:rsid w:val="00090A1E"/>
    <w:rsid w:val="00096BC3"/>
    <w:rsid w:val="00097219"/>
    <w:rsid w:val="000A33DF"/>
    <w:rsid w:val="000C33FC"/>
    <w:rsid w:val="000F7303"/>
    <w:rsid w:val="0013041A"/>
    <w:rsid w:val="00154937"/>
    <w:rsid w:val="001657F5"/>
    <w:rsid w:val="00183C2C"/>
    <w:rsid w:val="00186E07"/>
    <w:rsid w:val="00190535"/>
    <w:rsid w:val="00190E79"/>
    <w:rsid w:val="00192CD4"/>
    <w:rsid w:val="001A50FD"/>
    <w:rsid w:val="001B7048"/>
    <w:rsid w:val="001E2999"/>
    <w:rsid w:val="001E422E"/>
    <w:rsid w:val="002026A5"/>
    <w:rsid w:val="00202D01"/>
    <w:rsid w:val="002104C3"/>
    <w:rsid w:val="00224146"/>
    <w:rsid w:val="00226289"/>
    <w:rsid w:val="002278CC"/>
    <w:rsid w:val="00231E05"/>
    <w:rsid w:val="00255F30"/>
    <w:rsid w:val="00266D21"/>
    <w:rsid w:val="002862E7"/>
    <w:rsid w:val="002910FE"/>
    <w:rsid w:val="002957F7"/>
    <w:rsid w:val="002A07EE"/>
    <w:rsid w:val="002D5967"/>
    <w:rsid w:val="002F281B"/>
    <w:rsid w:val="002F2C56"/>
    <w:rsid w:val="003249A2"/>
    <w:rsid w:val="003322BE"/>
    <w:rsid w:val="00361036"/>
    <w:rsid w:val="00362065"/>
    <w:rsid w:val="00363D13"/>
    <w:rsid w:val="003738E0"/>
    <w:rsid w:val="00386F0B"/>
    <w:rsid w:val="003875D0"/>
    <w:rsid w:val="00391902"/>
    <w:rsid w:val="003A2F76"/>
    <w:rsid w:val="003B3372"/>
    <w:rsid w:val="003B544A"/>
    <w:rsid w:val="003D721D"/>
    <w:rsid w:val="003E1368"/>
    <w:rsid w:val="003E177D"/>
    <w:rsid w:val="00405067"/>
    <w:rsid w:val="00406FF1"/>
    <w:rsid w:val="00406FF2"/>
    <w:rsid w:val="00410C81"/>
    <w:rsid w:val="00424480"/>
    <w:rsid w:val="00425075"/>
    <w:rsid w:val="00442678"/>
    <w:rsid w:val="00473518"/>
    <w:rsid w:val="00481B2E"/>
    <w:rsid w:val="0048594E"/>
    <w:rsid w:val="004A5959"/>
    <w:rsid w:val="004C75E2"/>
    <w:rsid w:val="00505405"/>
    <w:rsid w:val="005107D2"/>
    <w:rsid w:val="00514239"/>
    <w:rsid w:val="00521DAB"/>
    <w:rsid w:val="0052548F"/>
    <w:rsid w:val="00563949"/>
    <w:rsid w:val="00570AB6"/>
    <w:rsid w:val="00574B75"/>
    <w:rsid w:val="0058426A"/>
    <w:rsid w:val="005936C0"/>
    <w:rsid w:val="005A464F"/>
    <w:rsid w:val="005B2CB3"/>
    <w:rsid w:val="005D02F6"/>
    <w:rsid w:val="005E188C"/>
    <w:rsid w:val="005E49E7"/>
    <w:rsid w:val="005E70E9"/>
    <w:rsid w:val="005F3906"/>
    <w:rsid w:val="005F5890"/>
    <w:rsid w:val="00603FB0"/>
    <w:rsid w:val="006054E2"/>
    <w:rsid w:val="006078DA"/>
    <w:rsid w:val="00614834"/>
    <w:rsid w:val="00624FBE"/>
    <w:rsid w:val="00635387"/>
    <w:rsid w:val="006409AC"/>
    <w:rsid w:val="006453AD"/>
    <w:rsid w:val="00656529"/>
    <w:rsid w:val="00671A91"/>
    <w:rsid w:val="00681CBE"/>
    <w:rsid w:val="00684F26"/>
    <w:rsid w:val="006968BB"/>
    <w:rsid w:val="006A6400"/>
    <w:rsid w:val="006C7AA8"/>
    <w:rsid w:val="006D0B37"/>
    <w:rsid w:val="006E6FD3"/>
    <w:rsid w:val="006F76FB"/>
    <w:rsid w:val="007000A4"/>
    <w:rsid w:val="007014B3"/>
    <w:rsid w:val="0071443A"/>
    <w:rsid w:val="0074257B"/>
    <w:rsid w:val="00743B0F"/>
    <w:rsid w:val="00760388"/>
    <w:rsid w:val="007615D4"/>
    <w:rsid w:val="0076511C"/>
    <w:rsid w:val="007B27B4"/>
    <w:rsid w:val="007C7A8C"/>
    <w:rsid w:val="007D4C16"/>
    <w:rsid w:val="007E0BD9"/>
    <w:rsid w:val="007E1EF8"/>
    <w:rsid w:val="00800452"/>
    <w:rsid w:val="00800FA2"/>
    <w:rsid w:val="00801D04"/>
    <w:rsid w:val="00805E9F"/>
    <w:rsid w:val="00815F88"/>
    <w:rsid w:val="008164F9"/>
    <w:rsid w:val="0082110C"/>
    <w:rsid w:val="00825B88"/>
    <w:rsid w:val="008335A3"/>
    <w:rsid w:val="0083543F"/>
    <w:rsid w:val="00836146"/>
    <w:rsid w:val="00847B34"/>
    <w:rsid w:val="008558D3"/>
    <w:rsid w:val="00863271"/>
    <w:rsid w:val="00871C97"/>
    <w:rsid w:val="008767F3"/>
    <w:rsid w:val="008806AD"/>
    <w:rsid w:val="0088313D"/>
    <w:rsid w:val="008839EE"/>
    <w:rsid w:val="00890FB3"/>
    <w:rsid w:val="00891FC9"/>
    <w:rsid w:val="00895BF1"/>
    <w:rsid w:val="008A2B93"/>
    <w:rsid w:val="008A43AF"/>
    <w:rsid w:val="008F474F"/>
    <w:rsid w:val="009049A3"/>
    <w:rsid w:val="00906D41"/>
    <w:rsid w:val="0092048F"/>
    <w:rsid w:val="009208D8"/>
    <w:rsid w:val="009458A1"/>
    <w:rsid w:val="0095560F"/>
    <w:rsid w:val="00955D77"/>
    <w:rsid w:val="00956137"/>
    <w:rsid w:val="00956B1B"/>
    <w:rsid w:val="00956C58"/>
    <w:rsid w:val="009D488B"/>
    <w:rsid w:val="009E14FF"/>
    <w:rsid w:val="009E2504"/>
    <w:rsid w:val="009E7A79"/>
    <w:rsid w:val="009F7F92"/>
    <w:rsid w:val="00A51BAD"/>
    <w:rsid w:val="00A6327A"/>
    <w:rsid w:val="00A632FC"/>
    <w:rsid w:val="00A825F3"/>
    <w:rsid w:val="00A915C7"/>
    <w:rsid w:val="00AA40C5"/>
    <w:rsid w:val="00AA512F"/>
    <w:rsid w:val="00AB1BDF"/>
    <w:rsid w:val="00AC2152"/>
    <w:rsid w:val="00AD5245"/>
    <w:rsid w:val="00AE6758"/>
    <w:rsid w:val="00B0467E"/>
    <w:rsid w:val="00B0762C"/>
    <w:rsid w:val="00B24F3E"/>
    <w:rsid w:val="00B40050"/>
    <w:rsid w:val="00B439EC"/>
    <w:rsid w:val="00B46980"/>
    <w:rsid w:val="00B56D56"/>
    <w:rsid w:val="00B613A0"/>
    <w:rsid w:val="00B63BB2"/>
    <w:rsid w:val="00B67FEF"/>
    <w:rsid w:val="00B73B0A"/>
    <w:rsid w:val="00B9474A"/>
    <w:rsid w:val="00BA29A4"/>
    <w:rsid w:val="00BB1844"/>
    <w:rsid w:val="00BB3CB7"/>
    <w:rsid w:val="00BB6904"/>
    <w:rsid w:val="00BD06BF"/>
    <w:rsid w:val="00BD1BB3"/>
    <w:rsid w:val="00BE13B5"/>
    <w:rsid w:val="00C016CD"/>
    <w:rsid w:val="00C02DDA"/>
    <w:rsid w:val="00C11D27"/>
    <w:rsid w:val="00C201E1"/>
    <w:rsid w:val="00C42B1E"/>
    <w:rsid w:val="00C910E9"/>
    <w:rsid w:val="00C9348B"/>
    <w:rsid w:val="00CA5A8E"/>
    <w:rsid w:val="00CD683F"/>
    <w:rsid w:val="00CF281A"/>
    <w:rsid w:val="00D01778"/>
    <w:rsid w:val="00D117B4"/>
    <w:rsid w:val="00D164CE"/>
    <w:rsid w:val="00D22A97"/>
    <w:rsid w:val="00D33AE4"/>
    <w:rsid w:val="00D47867"/>
    <w:rsid w:val="00D50B56"/>
    <w:rsid w:val="00D521AC"/>
    <w:rsid w:val="00D5379D"/>
    <w:rsid w:val="00D609E0"/>
    <w:rsid w:val="00D64EB5"/>
    <w:rsid w:val="00D737F7"/>
    <w:rsid w:val="00D918E4"/>
    <w:rsid w:val="00DC7883"/>
    <w:rsid w:val="00DD5CCC"/>
    <w:rsid w:val="00DF672D"/>
    <w:rsid w:val="00E02884"/>
    <w:rsid w:val="00E170BA"/>
    <w:rsid w:val="00E17476"/>
    <w:rsid w:val="00E640DA"/>
    <w:rsid w:val="00E766B9"/>
    <w:rsid w:val="00E848F1"/>
    <w:rsid w:val="00EA3575"/>
    <w:rsid w:val="00EB07A8"/>
    <w:rsid w:val="00EB5A0D"/>
    <w:rsid w:val="00ED60B9"/>
    <w:rsid w:val="00ED7663"/>
    <w:rsid w:val="00EE340B"/>
    <w:rsid w:val="00EE70E5"/>
    <w:rsid w:val="00F027A9"/>
    <w:rsid w:val="00F116D7"/>
    <w:rsid w:val="00F55D5F"/>
    <w:rsid w:val="00F70583"/>
    <w:rsid w:val="00F80944"/>
    <w:rsid w:val="00F97FA0"/>
    <w:rsid w:val="00FA4E9C"/>
    <w:rsid w:val="00FB4620"/>
    <w:rsid w:val="00FC3EE7"/>
    <w:rsid w:val="00FC7BA7"/>
    <w:rsid w:val="00FD4315"/>
    <w:rsid w:val="00FF6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C0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3939526">
      <w:bodyDiv w:val="1"/>
      <w:marLeft w:val="0"/>
      <w:marRight w:val="0"/>
      <w:marTop w:val="0"/>
      <w:marBottom w:val="0"/>
      <w:divBdr>
        <w:top w:val="none" w:sz="0" w:space="0" w:color="auto"/>
        <w:left w:val="none" w:sz="0" w:space="0" w:color="auto"/>
        <w:bottom w:val="none" w:sz="0" w:space="0" w:color="auto"/>
        <w:right w:val="none" w:sz="0" w:space="0" w:color="auto"/>
      </w:divBdr>
    </w:div>
    <w:div w:id="11999976">
      <w:bodyDiv w:val="1"/>
      <w:marLeft w:val="0"/>
      <w:marRight w:val="0"/>
      <w:marTop w:val="0"/>
      <w:marBottom w:val="0"/>
      <w:divBdr>
        <w:top w:val="none" w:sz="0" w:space="0" w:color="auto"/>
        <w:left w:val="none" w:sz="0" w:space="0" w:color="auto"/>
        <w:bottom w:val="none" w:sz="0" w:space="0" w:color="auto"/>
        <w:right w:val="none" w:sz="0" w:space="0" w:color="auto"/>
      </w:divBdr>
    </w:div>
    <w:div w:id="36904139">
      <w:bodyDiv w:val="1"/>
      <w:marLeft w:val="0"/>
      <w:marRight w:val="0"/>
      <w:marTop w:val="0"/>
      <w:marBottom w:val="0"/>
      <w:divBdr>
        <w:top w:val="none" w:sz="0" w:space="0" w:color="auto"/>
        <w:left w:val="none" w:sz="0" w:space="0" w:color="auto"/>
        <w:bottom w:val="none" w:sz="0" w:space="0" w:color="auto"/>
        <w:right w:val="none" w:sz="0" w:space="0" w:color="auto"/>
      </w:divBdr>
    </w:div>
    <w:div w:id="311100005">
      <w:bodyDiv w:val="1"/>
      <w:marLeft w:val="0"/>
      <w:marRight w:val="0"/>
      <w:marTop w:val="0"/>
      <w:marBottom w:val="0"/>
      <w:divBdr>
        <w:top w:val="none" w:sz="0" w:space="0" w:color="auto"/>
        <w:left w:val="none" w:sz="0" w:space="0" w:color="auto"/>
        <w:bottom w:val="none" w:sz="0" w:space="0" w:color="auto"/>
        <w:right w:val="none" w:sz="0" w:space="0" w:color="auto"/>
      </w:divBdr>
    </w:div>
    <w:div w:id="344021563">
      <w:bodyDiv w:val="1"/>
      <w:marLeft w:val="0"/>
      <w:marRight w:val="0"/>
      <w:marTop w:val="0"/>
      <w:marBottom w:val="0"/>
      <w:divBdr>
        <w:top w:val="none" w:sz="0" w:space="0" w:color="auto"/>
        <w:left w:val="none" w:sz="0" w:space="0" w:color="auto"/>
        <w:bottom w:val="none" w:sz="0" w:space="0" w:color="auto"/>
        <w:right w:val="none" w:sz="0" w:space="0" w:color="auto"/>
      </w:divBdr>
    </w:div>
    <w:div w:id="545532056">
      <w:bodyDiv w:val="1"/>
      <w:marLeft w:val="0"/>
      <w:marRight w:val="0"/>
      <w:marTop w:val="0"/>
      <w:marBottom w:val="0"/>
      <w:divBdr>
        <w:top w:val="none" w:sz="0" w:space="0" w:color="auto"/>
        <w:left w:val="none" w:sz="0" w:space="0" w:color="auto"/>
        <w:bottom w:val="none" w:sz="0" w:space="0" w:color="auto"/>
        <w:right w:val="none" w:sz="0" w:space="0" w:color="auto"/>
      </w:divBdr>
    </w:div>
    <w:div w:id="689994639">
      <w:bodyDiv w:val="1"/>
      <w:marLeft w:val="0"/>
      <w:marRight w:val="0"/>
      <w:marTop w:val="0"/>
      <w:marBottom w:val="0"/>
      <w:divBdr>
        <w:top w:val="none" w:sz="0" w:space="0" w:color="auto"/>
        <w:left w:val="none" w:sz="0" w:space="0" w:color="auto"/>
        <w:bottom w:val="none" w:sz="0" w:space="0" w:color="auto"/>
        <w:right w:val="none" w:sz="0" w:space="0" w:color="auto"/>
      </w:divBdr>
    </w:div>
    <w:div w:id="833645465">
      <w:bodyDiv w:val="1"/>
      <w:marLeft w:val="0"/>
      <w:marRight w:val="0"/>
      <w:marTop w:val="0"/>
      <w:marBottom w:val="0"/>
      <w:divBdr>
        <w:top w:val="none" w:sz="0" w:space="0" w:color="auto"/>
        <w:left w:val="none" w:sz="0" w:space="0" w:color="auto"/>
        <w:bottom w:val="none" w:sz="0" w:space="0" w:color="auto"/>
        <w:right w:val="none" w:sz="0" w:space="0" w:color="auto"/>
      </w:divBdr>
    </w:div>
    <w:div w:id="1025524650">
      <w:bodyDiv w:val="1"/>
      <w:marLeft w:val="0"/>
      <w:marRight w:val="0"/>
      <w:marTop w:val="0"/>
      <w:marBottom w:val="0"/>
      <w:divBdr>
        <w:top w:val="none" w:sz="0" w:space="0" w:color="auto"/>
        <w:left w:val="none" w:sz="0" w:space="0" w:color="auto"/>
        <w:bottom w:val="none" w:sz="0" w:space="0" w:color="auto"/>
        <w:right w:val="none" w:sz="0" w:space="0" w:color="auto"/>
      </w:divBdr>
    </w:div>
    <w:div w:id="1363940375">
      <w:bodyDiv w:val="1"/>
      <w:marLeft w:val="0"/>
      <w:marRight w:val="0"/>
      <w:marTop w:val="0"/>
      <w:marBottom w:val="0"/>
      <w:divBdr>
        <w:top w:val="none" w:sz="0" w:space="0" w:color="auto"/>
        <w:left w:val="none" w:sz="0" w:space="0" w:color="auto"/>
        <w:bottom w:val="none" w:sz="0" w:space="0" w:color="auto"/>
        <w:right w:val="none" w:sz="0" w:space="0" w:color="auto"/>
      </w:divBdr>
    </w:div>
    <w:div w:id="1579512477">
      <w:bodyDiv w:val="1"/>
      <w:marLeft w:val="0"/>
      <w:marRight w:val="0"/>
      <w:marTop w:val="0"/>
      <w:marBottom w:val="0"/>
      <w:divBdr>
        <w:top w:val="none" w:sz="0" w:space="0" w:color="auto"/>
        <w:left w:val="none" w:sz="0" w:space="0" w:color="auto"/>
        <w:bottom w:val="none" w:sz="0" w:space="0" w:color="auto"/>
        <w:right w:val="none" w:sz="0" w:space="0" w:color="auto"/>
      </w:divBdr>
    </w:div>
    <w:div w:id="1651639229">
      <w:bodyDiv w:val="1"/>
      <w:marLeft w:val="0"/>
      <w:marRight w:val="0"/>
      <w:marTop w:val="0"/>
      <w:marBottom w:val="0"/>
      <w:divBdr>
        <w:top w:val="none" w:sz="0" w:space="0" w:color="auto"/>
        <w:left w:val="none" w:sz="0" w:space="0" w:color="auto"/>
        <w:bottom w:val="none" w:sz="0" w:space="0" w:color="auto"/>
        <w:right w:val="none" w:sz="0" w:space="0" w:color="auto"/>
      </w:divBdr>
    </w:div>
    <w:div w:id="1730766556">
      <w:bodyDiv w:val="1"/>
      <w:marLeft w:val="0"/>
      <w:marRight w:val="0"/>
      <w:marTop w:val="0"/>
      <w:marBottom w:val="0"/>
      <w:divBdr>
        <w:top w:val="none" w:sz="0" w:space="0" w:color="auto"/>
        <w:left w:val="none" w:sz="0" w:space="0" w:color="auto"/>
        <w:bottom w:val="none" w:sz="0" w:space="0" w:color="auto"/>
        <w:right w:val="none" w:sz="0" w:space="0" w:color="auto"/>
      </w:divBdr>
    </w:div>
    <w:div w:id="1780754914">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967346486">
      <w:bodyDiv w:val="1"/>
      <w:marLeft w:val="0"/>
      <w:marRight w:val="0"/>
      <w:marTop w:val="0"/>
      <w:marBottom w:val="0"/>
      <w:divBdr>
        <w:top w:val="none" w:sz="0" w:space="0" w:color="auto"/>
        <w:left w:val="none" w:sz="0" w:space="0" w:color="auto"/>
        <w:bottom w:val="none" w:sz="0" w:space="0" w:color="auto"/>
        <w:right w:val="none" w:sz="0" w:space="0" w:color="auto"/>
      </w:divBdr>
    </w:div>
    <w:div w:id="20674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BEHAVIOR PATTERNS OF HYDRATION</vt:lpstr>
    </vt:vector>
  </TitlesOfParts>
  <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PATTERNS OF HYDRATION</dc:title>
  <dc:creator>s</dc:creator>
  <cp:lastModifiedBy>s</cp:lastModifiedBy>
  <cp:revision>2</cp:revision>
  <cp:lastPrinted>2016-05-01T18:26:00Z</cp:lastPrinted>
  <dcterms:created xsi:type="dcterms:W3CDTF">2016-05-02T22:19:00Z</dcterms:created>
  <dcterms:modified xsi:type="dcterms:W3CDTF">2016-05-02T22:19:00Z</dcterms:modified>
</cp:coreProperties>
</file>